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3682C" w14:textId="77777777" w:rsidR="001301F3" w:rsidRPr="00C03BF2" w:rsidRDefault="001301F3" w:rsidP="00C03BF2">
      <w:pPr>
        <w:autoSpaceDE w:val="0"/>
        <w:autoSpaceDN w:val="0"/>
        <w:adjustRightInd w:val="0"/>
        <w:ind w:left="0" w:right="72" w:firstLine="0"/>
        <w:jc w:val="both"/>
        <w:rPr>
          <w:rFonts w:ascii="Palatino Linotype" w:hAnsi="Palatino Linotype"/>
          <w:b/>
          <w:bCs/>
          <w:color w:val="000000"/>
          <w:sz w:val="24"/>
          <w:szCs w:val="24"/>
        </w:rPr>
      </w:pPr>
    </w:p>
    <w:p w14:paraId="3DB41F2F" w14:textId="77777777" w:rsidR="001301F3" w:rsidRPr="00C03BF2" w:rsidRDefault="001301F3" w:rsidP="002E53A1">
      <w:pPr>
        <w:autoSpaceDE w:val="0"/>
        <w:autoSpaceDN w:val="0"/>
        <w:adjustRightInd w:val="0"/>
        <w:ind w:left="1440" w:right="72" w:hanging="1440"/>
        <w:jc w:val="right"/>
        <w:rPr>
          <w:rFonts w:ascii="Palatino Linotype" w:hAnsi="Palatino Linotype"/>
          <w:b/>
          <w:bCs/>
          <w:color w:val="000000"/>
          <w:sz w:val="24"/>
          <w:szCs w:val="24"/>
        </w:rPr>
      </w:pPr>
    </w:p>
    <w:p w14:paraId="5AFCC158" w14:textId="7F09F0E2" w:rsidR="005D1D0B" w:rsidRPr="00C03BF2" w:rsidRDefault="000F1671" w:rsidP="005D1D0B">
      <w:pPr>
        <w:pBdr>
          <w:top w:val="single" w:sz="4" w:space="1" w:color="auto"/>
          <w:left w:val="single" w:sz="4" w:space="4" w:color="auto"/>
          <w:bottom w:val="single" w:sz="4" w:space="1" w:color="auto"/>
          <w:right w:val="single" w:sz="4" w:space="4" w:color="auto"/>
        </w:pBdr>
        <w:ind w:left="0" w:firstLine="0"/>
        <w:jc w:val="both"/>
        <w:rPr>
          <w:rFonts w:ascii="Palatino Linotype" w:hAnsi="Palatino Linotype"/>
          <w:b/>
          <w:bCs/>
          <w:color w:val="0070C0"/>
          <w:sz w:val="24"/>
          <w:szCs w:val="24"/>
        </w:rPr>
      </w:pPr>
      <w:r w:rsidRPr="00C03BF2">
        <w:rPr>
          <w:rFonts w:ascii="Palatino Linotype" w:hAnsi="Palatino Linotype"/>
          <w:b/>
          <w:bCs/>
          <w:color w:val="0070C0"/>
          <w:sz w:val="24"/>
          <w:szCs w:val="24"/>
        </w:rPr>
        <w:t>S</w:t>
      </w:r>
      <w:r w:rsidR="005D1D0B" w:rsidRPr="00C03BF2">
        <w:rPr>
          <w:rFonts w:ascii="Palatino Linotype" w:hAnsi="Palatino Linotype"/>
          <w:b/>
          <w:bCs/>
          <w:color w:val="0070C0"/>
          <w:sz w:val="24"/>
          <w:szCs w:val="24"/>
        </w:rPr>
        <w:t>chema di deliberazione consiliare modificato e integrato con i riferimenti alla LR</w:t>
      </w:r>
      <w:r w:rsidR="00325537" w:rsidRPr="00C03BF2">
        <w:rPr>
          <w:rFonts w:ascii="Palatino Linotype" w:hAnsi="Palatino Linotype"/>
          <w:b/>
          <w:bCs/>
          <w:color w:val="0070C0"/>
          <w:sz w:val="24"/>
          <w:szCs w:val="24"/>
        </w:rPr>
        <w:t xml:space="preserve"> 38/2019 e alla DGRV n. 2006/2019</w:t>
      </w:r>
      <w:r w:rsidR="005D1D0B" w:rsidRPr="00C03BF2">
        <w:rPr>
          <w:rFonts w:ascii="Palatino Linotype" w:hAnsi="Palatino Linotype"/>
          <w:b/>
          <w:bCs/>
          <w:color w:val="0070C0"/>
          <w:sz w:val="24"/>
          <w:szCs w:val="24"/>
        </w:rPr>
        <w:t>.</w:t>
      </w:r>
      <w:r w:rsidR="009D095A">
        <w:rPr>
          <w:rFonts w:ascii="Palatino Linotype" w:hAnsi="Palatino Linotype"/>
          <w:b/>
          <w:bCs/>
          <w:color w:val="0070C0"/>
          <w:sz w:val="24"/>
          <w:szCs w:val="24"/>
        </w:rPr>
        <w:t xml:space="preserve">                                                                                       </w:t>
      </w:r>
      <w:r w:rsidR="003A0C32">
        <w:rPr>
          <w:rFonts w:ascii="Palatino Linotype" w:hAnsi="Palatino Linotype"/>
          <w:b/>
          <w:bCs/>
          <w:color w:val="0070C0"/>
          <w:sz w:val="24"/>
          <w:szCs w:val="24"/>
        </w:rPr>
        <w:t xml:space="preserve">  </w:t>
      </w:r>
      <w:r w:rsidR="009D095A">
        <w:rPr>
          <w:rFonts w:ascii="Palatino Linotype" w:hAnsi="Palatino Linotype"/>
          <w:b/>
          <w:bCs/>
          <w:color w:val="0070C0"/>
          <w:sz w:val="24"/>
          <w:szCs w:val="24"/>
        </w:rPr>
        <w:t xml:space="preserve"> </w:t>
      </w:r>
      <w:proofErr w:type="gramStart"/>
      <w:r w:rsidR="009D095A">
        <w:rPr>
          <w:rFonts w:ascii="Palatino Linotype" w:hAnsi="Palatino Linotype"/>
          <w:b/>
          <w:bCs/>
          <w:color w:val="0070C0"/>
          <w:sz w:val="24"/>
          <w:szCs w:val="24"/>
        </w:rPr>
        <w:t>D</w:t>
      </w:r>
      <w:r w:rsidR="00492DE7">
        <w:rPr>
          <w:rFonts w:ascii="Palatino Linotype" w:hAnsi="Palatino Linotype"/>
          <w:b/>
          <w:bCs/>
          <w:color w:val="0070C0"/>
          <w:sz w:val="24"/>
          <w:szCs w:val="24"/>
        </w:rPr>
        <w:t xml:space="preserve">icembre </w:t>
      </w:r>
      <w:r w:rsidR="009D095A">
        <w:rPr>
          <w:rFonts w:ascii="Palatino Linotype" w:hAnsi="Palatino Linotype"/>
          <w:b/>
          <w:bCs/>
          <w:color w:val="0070C0"/>
          <w:sz w:val="24"/>
          <w:szCs w:val="24"/>
        </w:rPr>
        <w:t xml:space="preserve"> 2020</w:t>
      </w:r>
      <w:proofErr w:type="gramEnd"/>
    </w:p>
    <w:p w14:paraId="0154AF90" w14:textId="77777777" w:rsidR="00A11B0F" w:rsidRPr="00C03BF2" w:rsidRDefault="00A11B0F" w:rsidP="00C03BF2">
      <w:pPr>
        <w:autoSpaceDE w:val="0"/>
        <w:autoSpaceDN w:val="0"/>
        <w:adjustRightInd w:val="0"/>
        <w:ind w:left="0" w:right="72" w:firstLine="0"/>
        <w:jc w:val="both"/>
        <w:rPr>
          <w:rFonts w:ascii="Palatino Linotype" w:hAnsi="Palatino Linotype"/>
          <w:b/>
          <w:bCs/>
          <w:color w:val="000000"/>
          <w:sz w:val="24"/>
          <w:szCs w:val="24"/>
        </w:rPr>
      </w:pPr>
    </w:p>
    <w:p w14:paraId="28DFD9AB" w14:textId="77777777" w:rsidR="001301F3" w:rsidRPr="00C03BF2" w:rsidRDefault="00CE7108" w:rsidP="002B7FAB">
      <w:pPr>
        <w:autoSpaceDE w:val="0"/>
        <w:autoSpaceDN w:val="0"/>
        <w:adjustRightInd w:val="0"/>
        <w:ind w:left="1440" w:right="72" w:hanging="1440"/>
        <w:jc w:val="both"/>
        <w:rPr>
          <w:rFonts w:ascii="Palatino Linotype" w:hAnsi="Palatino Linotype"/>
          <w:b/>
          <w:bCs/>
          <w:i/>
          <w:caps/>
          <w:color w:val="000000"/>
          <w:sz w:val="24"/>
          <w:szCs w:val="24"/>
        </w:rPr>
      </w:pPr>
      <w:r w:rsidRPr="00C03BF2">
        <w:rPr>
          <w:rFonts w:ascii="Palatino Linotype" w:hAnsi="Palatino Linotype"/>
          <w:b/>
          <w:bCs/>
          <w:color w:val="000000"/>
          <w:sz w:val="24"/>
          <w:szCs w:val="24"/>
        </w:rPr>
        <w:t>OGGETTO:</w:t>
      </w:r>
      <w:r w:rsidR="00DC33D2" w:rsidRPr="00C03BF2">
        <w:rPr>
          <w:rFonts w:ascii="Palatino Linotype" w:hAnsi="Palatino Linotype"/>
          <w:b/>
          <w:bCs/>
          <w:color w:val="000000"/>
          <w:sz w:val="24"/>
          <w:szCs w:val="24"/>
        </w:rPr>
        <w:tab/>
      </w:r>
      <w:r w:rsidR="00A753CE" w:rsidRPr="00C03BF2">
        <w:rPr>
          <w:rFonts w:ascii="Palatino Linotype" w:hAnsi="Palatino Linotype"/>
          <w:b/>
          <w:i/>
          <w:caps/>
          <w:color w:val="000000"/>
          <w:sz w:val="24"/>
          <w:szCs w:val="24"/>
        </w:rPr>
        <w:t xml:space="preserve">approvazione </w:t>
      </w:r>
      <w:r w:rsidR="001301F3" w:rsidRPr="00C03BF2">
        <w:rPr>
          <w:rFonts w:ascii="Palatino Linotype" w:hAnsi="Palatino Linotype"/>
          <w:b/>
          <w:i/>
          <w:caps/>
          <w:color w:val="000000"/>
          <w:sz w:val="24"/>
          <w:szCs w:val="24"/>
        </w:rPr>
        <w:t>“R</w:t>
      </w:r>
      <w:r w:rsidR="001301F3" w:rsidRPr="00C03BF2">
        <w:rPr>
          <w:rFonts w:ascii="Palatino Linotype" w:hAnsi="Palatino Linotype"/>
          <w:b/>
          <w:i/>
          <w:iCs/>
          <w:caps/>
          <w:color w:val="000000"/>
          <w:sz w:val="24"/>
          <w:szCs w:val="24"/>
        </w:rPr>
        <w:t>egolamento Comunale sui criteri di installazione di nuovi apparecchi da intrattenimento con vincita in denaro e di sistemi da gioco video lottery, nonché di pratica ed esercizio del gioco d'azzardo e comunque dei giochi con vincita in denaro, leciti, comprese le scommesse”</w:t>
      </w:r>
    </w:p>
    <w:p w14:paraId="2EAE2AFF" w14:textId="77777777" w:rsidR="001301F3" w:rsidRPr="00C03BF2" w:rsidRDefault="001301F3" w:rsidP="002B7FAB">
      <w:pPr>
        <w:autoSpaceDE w:val="0"/>
        <w:autoSpaceDN w:val="0"/>
        <w:adjustRightInd w:val="0"/>
        <w:ind w:left="0" w:firstLine="0"/>
        <w:jc w:val="both"/>
        <w:rPr>
          <w:rFonts w:ascii="Palatino Linotype" w:hAnsi="Palatino Linotype"/>
          <w:b/>
          <w:bCs/>
          <w:color w:val="000000"/>
          <w:sz w:val="24"/>
          <w:szCs w:val="24"/>
        </w:rPr>
      </w:pPr>
    </w:p>
    <w:p w14:paraId="6AB44E9D" w14:textId="77777777" w:rsidR="001301F3" w:rsidRPr="00C03BF2" w:rsidRDefault="001301F3" w:rsidP="00E66B41">
      <w:pPr>
        <w:autoSpaceDE w:val="0"/>
        <w:autoSpaceDN w:val="0"/>
        <w:adjustRightInd w:val="0"/>
        <w:ind w:left="0" w:firstLine="0"/>
        <w:jc w:val="center"/>
        <w:rPr>
          <w:rFonts w:ascii="Palatino Linotype" w:hAnsi="Palatino Linotype"/>
          <w:b/>
          <w:bCs/>
          <w:color w:val="000000"/>
          <w:sz w:val="24"/>
          <w:szCs w:val="24"/>
        </w:rPr>
      </w:pPr>
      <w:r w:rsidRPr="00C03BF2">
        <w:rPr>
          <w:rFonts w:ascii="Palatino Linotype" w:hAnsi="Palatino Linotype"/>
          <w:b/>
          <w:bCs/>
          <w:color w:val="000000"/>
          <w:sz w:val="24"/>
          <w:szCs w:val="24"/>
        </w:rPr>
        <w:t>IL CONSIGLIO COMUNALE</w:t>
      </w:r>
    </w:p>
    <w:p w14:paraId="2238DAA8" w14:textId="77777777" w:rsidR="001301F3" w:rsidRPr="00C03BF2" w:rsidRDefault="001301F3" w:rsidP="002B7FAB">
      <w:pPr>
        <w:autoSpaceDE w:val="0"/>
        <w:autoSpaceDN w:val="0"/>
        <w:adjustRightInd w:val="0"/>
        <w:ind w:left="28" w:firstLine="0"/>
        <w:jc w:val="both"/>
        <w:rPr>
          <w:rFonts w:ascii="Palatino Linotype" w:hAnsi="Palatino Linotype"/>
          <w:b/>
          <w:bCs/>
          <w:color w:val="000000"/>
          <w:sz w:val="24"/>
          <w:szCs w:val="24"/>
        </w:rPr>
      </w:pPr>
    </w:p>
    <w:p w14:paraId="7A291354" w14:textId="042DDEF6" w:rsidR="001301F3" w:rsidRPr="00C03BF2" w:rsidRDefault="001301F3" w:rsidP="002B7FAB">
      <w:pPr>
        <w:autoSpaceDE w:val="0"/>
        <w:autoSpaceDN w:val="0"/>
        <w:adjustRightInd w:val="0"/>
        <w:ind w:left="28" w:firstLine="0"/>
        <w:jc w:val="both"/>
        <w:rPr>
          <w:rFonts w:ascii="Palatino Linotype" w:hAnsi="Palatino Linotype"/>
          <w:color w:val="000000"/>
          <w:sz w:val="24"/>
          <w:szCs w:val="24"/>
        </w:rPr>
      </w:pPr>
      <w:r w:rsidRPr="00C03BF2">
        <w:rPr>
          <w:rFonts w:ascii="Palatino Linotype" w:hAnsi="Palatino Linotype"/>
          <w:b/>
          <w:color w:val="000000"/>
          <w:sz w:val="24"/>
          <w:szCs w:val="24"/>
        </w:rPr>
        <w:t>PREMESSO</w:t>
      </w:r>
    </w:p>
    <w:p w14:paraId="615ACDCD" w14:textId="132CC735" w:rsidR="00C03BF2" w:rsidRDefault="001301F3" w:rsidP="00C03BF2">
      <w:pPr>
        <w:pStyle w:val="Paragrafoelenco"/>
        <w:numPr>
          <w:ilvl w:val="0"/>
          <w:numId w:val="10"/>
        </w:numPr>
        <w:tabs>
          <w:tab w:val="left" w:pos="567"/>
        </w:tabs>
        <w:autoSpaceDE w:val="0"/>
        <w:autoSpaceDN w:val="0"/>
        <w:adjustRightInd w:val="0"/>
        <w:ind w:left="567" w:hanging="425"/>
        <w:jc w:val="both"/>
        <w:rPr>
          <w:rFonts w:ascii="Palatino Linotype" w:hAnsi="Palatino Linotype"/>
          <w:sz w:val="24"/>
          <w:szCs w:val="24"/>
        </w:rPr>
      </w:pPr>
      <w:r w:rsidRPr="00C03BF2">
        <w:rPr>
          <w:rFonts w:ascii="Palatino Linotype" w:hAnsi="Palatino Linotype"/>
          <w:color w:val="000000"/>
          <w:sz w:val="24"/>
          <w:szCs w:val="24"/>
        </w:rPr>
        <w:t xml:space="preserve">che la ludopatia o il gioco d'azzardo patologico (G.A.P.), viene definita dall'Organizzazione Mondiale della Sanità come “malattia sociale”, intesa come incapacità di resistere </w:t>
      </w:r>
      <w:r w:rsidRPr="00C03BF2">
        <w:rPr>
          <w:rFonts w:ascii="Palatino Linotype" w:hAnsi="Palatino Linotype"/>
          <w:sz w:val="24"/>
          <w:szCs w:val="24"/>
        </w:rPr>
        <w:t>all'impulso di giocare d'azzardo o fare scommesse e pertanto malattia in grado di compromettere la salute e la condizione sociale del singolo individuo e della sua famiglia;</w:t>
      </w:r>
    </w:p>
    <w:p w14:paraId="1E54800C" w14:textId="24327A41" w:rsidR="004758F5" w:rsidRDefault="001301F3" w:rsidP="00C03BF2">
      <w:pPr>
        <w:pStyle w:val="Paragrafoelenco"/>
        <w:numPr>
          <w:ilvl w:val="0"/>
          <w:numId w:val="10"/>
        </w:numPr>
        <w:tabs>
          <w:tab w:val="left" w:pos="567"/>
        </w:tabs>
        <w:autoSpaceDE w:val="0"/>
        <w:autoSpaceDN w:val="0"/>
        <w:adjustRightInd w:val="0"/>
        <w:ind w:left="567" w:hanging="425"/>
        <w:jc w:val="both"/>
        <w:rPr>
          <w:rFonts w:ascii="Palatino Linotype" w:hAnsi="Palatino Linotype"/>
          <w:sz w:val="24"/>
          <w:szCs w:val="24"/>
        </w:rPr>
      </w:pPr>
      <w:r w:rsidRPr="00C03BF2">
        <w:rPr>
          <w:rFonts w:ascii="Palatino Linotype" w:hAnsi="Palatino Linotype"/>
          <w:sz w:val="24"/>
          <w:szCs w:val="24"/>
        </w:rPr>
        <w:t xml:space="preserve">che </w:t>
      </w:r>
      <w:r w:rsidR="00367F7E" w:rsidRPr="00C03BF2">
        <w:rPr>
          <w:rFonts w:ascii="Palatino Linotype" w:hAnsi="Palatino Linotype"/>
          <w:sz w:val="24"/>
          <w:szCs w:val="24"/>
        </w:rPr>
        <w:t>tale malattia</w:t>
      </w:r>
      <w:r w:rsidRPr="00C03BF2">
        <w:rPr>
          <w:rFonts w:ascii="Palatino Linotype" w:hAnsi="Palatino Linotype"/>
          <w:sz w:val="24"/>
          <w:szCs w:val="24"/>
        </w:rPr>
        <w:t xml:space="preserve"> comporta</w:t>
      </w:r>
      <w:r w:rsidR="00367F7E" w:rsidRPr="00C03BF2">
        <w:rPr>
          <w:rFonts w:ascii="Palatino Linotype" w:hAnsi="Palatino Linotype"/>
          <w:sz w:val="24"/>
          <w:szCs w:val="24"/>
        </w:rPr>
        <w:t xml:space="preserve"> </w:t>
      </w:r>
      <w:r w:rsidRPr="00C03BF2">
        <w:rPr>
          <w:rFonts w:ascii="Palatino Linotype" w:hAnsi="Palatino Linotype"/>
          <w:sz w:val="24"/>
          <w:szCs w:val="24"/>
        </w:rPr>
        <w:t>conseguenze</w:t>
      </w:r>
      <w:r w:rsidR="00367F7E" w:rsidRPr="00C03BF2">
        <w:rPr>
          <w:rFonts w:ascii="Palatino Linotype" w:hAnsi="Palatino Linotype"/>
          <w:sz w:val="24"/>
          <w:szCs w:val="24"/>
        </w:rPr>
        <w:t xml:space="preserve"> gravi </w:t>
      </w:r>
      <w:r w:rsidRPr="00C03BF2">
        <w:rPr>
          <w:rFonts w:ascii="Palatino Linotype" w:hAnsi="Palatino Linotype"/>
          <w:sz w:val="24"/>
          <w:szCs w:val="24"/>
        </w:rPr>
        <w:t>anche sull’ambiente esterno incidendo</w:t>
      </w:r>
      <w:r w:rsidR="00DC219B" w:rsidRPr="00C03BF2">
        <w:rPr>
          <w:rFonts w:ascii="Palatino Linotype" w:hAnsi="Palatino Linotype"/>
          <w:sz w:val="24"/>
          <w:szCs w:val="24"/>
        </w:rPr>
        <w:t xml:space="preserve"> negativamente </w:t>
      </w:r>
      <w:r w:rsidRPr="00C03BF2">
        <w:rPr>
          <w:rFonts w:ascii="Palatino Linotype" w:hAnsi="Palatino Linotype"/>
          <w:sz w:val="24"/>
          <w:szCs w:val="24"/>
        </w:rPr>
        <w:t>su</w:t>
      </w:r>
      <w:r w:rsidR="00AF0B10" w:rsidRPr="00C03BF2">
        <w:rPr>
          <w:rFonts w:ascii="Palatino Linotype" w:hAnsi="Palatino Linotype"/>
          <w:sz w:val="24"/>
          <w:szCs w:val="24"/>
        </w:rPr>
        <w:t xml:space="preserve"> </w:t>
      </w:r>
      <w:r w:rsidRPr="00C03BF2">
        <w:rPr>
          <w:rFonts w:ascii="Palatino Linotype" w:hAnsi="Palatino Linotype"/>
          <w:sz w:val="24"/>
          <w:szCs w:val="24"/>
        </w:rPr>
        <w:t>beni</w:t>
      </w:r>
      <w:r w:rsidR="00AF0B10" w:rsidRPr="00C03BF2">
        <w:rPr>
          <w:rFonts w:ascii="Palatino Linotype" w:hAnsi="Palatino Linotype"/>
          <w:sz w:val="24"/>
          <w:szCs w:val="24"/>
        </w:rPr>
        <w:t xml:space="preserve"> ed </w:t>
      </w:r>
      <w:r w:rsidRPr="00C03BF2">
        <w:rPr>
          <w:rFonts w:ascii="Palatino Linotype" w:hAnsi="Palatino Linotype"/>
          <w:sz w:val="24"/>
          <w:szCs w:val="24"/>
        </w:rPr>
        <w:t>interessi</w:t>
      </w:r>
      <w:r w:rsidR="00AF0B10" w:rsidRPr="00C03BF2">
        <w:rPr>
          <w:rFonts w:ascii="Palatino Linotype" w:hAnsi="Palatino Linotype"/>
          <w:sz w:val="24"/>
          <w:szCs w:val="24"/>
        </w:rPr>
        <w:t xml:space="preserve"> collettivi</w:t>
      </w:r>
      <w:r w:rsidRPr="00C03BF2">
        <w:rPr>
          <w:rFonts w:ascii="Palatino Linotype" w:hAnsi="Palatino Linotype"/>
          <w:sz w:val="24"/>
          <w:szCs w:val="24"/>
        </w:rPr>
        <w:t xml:space="preserve"> quali il decoro urbano</w:t>
      </w:r>
      <w:r w:rsidR="00AF0B10" w:rsidRPr="00C03BF2">
        <w:rPr>
          <w:rFonts w:ascii="Palatino Linotype" w:hAnsi="Palatino Linotype"/>
          <w:sz w:val="24"/>
          <w:szCs w:val="24"/>
        </w:rPr>
        <w:t xml:space="preserve"> e</w:t>
      </w:r>
      <w:r w:rsidRPr="00C03BF2">
        <w:rPr>
          <w:rFonts w:ascii="Palatino Linotype" w:hAnsi="Palatino Linotype"/>
          <w:sz w:val="24"/>
          <w:szCs w:val="24"/>
        </w:rPr>
        <w:t xml:space="preserve"> la quiete pubblica</w:t>
      </w:r>
      <w:r w:rsidR="00AF0B10" w:rsidRPr="00C03BF2">
        <w:rPr>
          <w:rFonts w:ascii="Palatino Linotype" w:hAnsi="Palatino Linotype"/>
          <w:sz w:val="24"/>
          <w:szCs w:val="24"/>
        </w:rPr>
        <w:t>, provocando</w:t>
      </w:r>
      <w:r w:rsidRPr="00C03BF2">
        <w:rPr>
          <w:rFonts w:ascii="Palatino Linotype" w:hAnsi="Palatino Linotype"/>
          <w:sz w:val="24"/>
          <w:szCs w:val="24"/>
        </w:rPr>
        <w:t xml:space="preserve"> talora un vero e proprio allarme sociale </w:t>
      </w:r>
      <w:r w:rsidR="00AF0B10" w:rsidRPr="00C03BF2">
        <w:rPr>
          <w:rFonts w:ascii="Palatino Linotype" w:hAnsi="Palatino Linotype"/>
          <w:sz w:val="24"/>
          <w:szCs w:val="24"/>
        </w:rPr>
        <w:t>dovuto</w:t>
      </w:r>
      <w:r w:rsidRPr="00C03BF2">
        <w:rPr>
          <w:rFonts w:ascii="Palatino Linotype" w:hAnsi="Palatino Linotype"/>
          <w:sz w:val="24"/>
          <w:szCs w:val="24"/>
        </w:rPr>
        <w:t xml:space="preserve"> alla maggiore probabilità che si verifichino fenomeni criminosi, in quanto gli individui che ne sono affetti, sono spinti a commettere furti o frodi oppure a diventare vittime dell'usura, con pregiudizio della libertà e della dignità umana</w:t>
      </w:r>
      <w:r w:rsidR="00F96B82" w:rsidRPr="00C03BF2">
        <w:rPr>
          <w:rFonts w:ascii="Palatino Linotype" w:hAnsi="Palatino Linotype"/>
          <w:sz w:val="24"/>
          <w:szCs w:val="24"/>
        </w:rPr>
        <w:t>;</w:t>
      </w:r>
    </w:p>
    <w:p w14:paraId="4734922E" w14:textId="0842934A" w:rsidR="00F96B82" w:rsidRPr="00C03BF2" w:rsidRDefault="00F96B82" w:rsidP="00C03BF2">
      <w:pPr>
        <w:pStyle w:val="Paragrafoelenco"/>
        <w:numPr>
          <w:ilvl w:val="0"/>
          <w:numId w:val="10"/>
        </w:numPr>
        <w:tabs>
          <w:tab w:val="left" w:pos="567"/>
        </w:tabs>
        <w:autoSpaceDE w:val="0"/>
        <w:autoSpaceDN w:val="0"/>
        <w:adjustRightInd w:val="0"/>
        <w:ind w:left="567" w:hanging="425"/>
        <w:jc w:val="both"/>
        <w:rPr>
          <w:rFonts w:ascii="Palatino Linotype" w:hAnsi="Palatino Linotype"/>
          <w:sz w:val="24"/>
          <w:szCs w:val="24"/>
        </w:rPr>
      </w:pPr>
      <w:r w:rsidRPr="00C03BF2">
        <w:rPr>
          <w:rFonts w:ascii="Palatino Linotype" w:hAnsi="Palatino Linotype"/>
          <w:sz w:val="24"/>
          <w:szCs w:val="24"/>
        </w:rPr>
        <w:t xml:space="preserve">che il volume di denaro giocato dagli italiani nel 2017 era pari a 101.753 milioni di euro, nel 2018 a 106.863 milioni di euro e nel 2019 ha raggiunto la soglia di 110.542 milioni di euro, quindi in costante aumento, come si evince dal Libro Blu 2019 dell’Agenzia Dogane e Monopoli; </w:t>
      </w:r>
    </w:p>
    <w:p w14:paraId="4CE07A3D" w14:textId="77777777" w:rsidR="001301F3" w:rsidRPr="00C03BF2" w:rsidRDefault="001301F3" w:rsidP="00F96B82">
      <w:pPr>
        <w:autoSpaceDE w:val="0"/>
        <w:autoSpaceDN w:val="0"/>
        <w:adjustRightInd w:val="0"/>
        <w:ind w:left="0" w:firstLine="0"/>
        <w:jc w:val="both"/>
        <w:rPr>
          <w:rFonts w:ascii="Palatino Linotype" w:hAnsi="Palatino Linotype"/>
          <w:color w:val="000000"/>
          <w:sz w:val="24"/>
          <w:szCs w:val="24"/>
        </w:rPr>
      </w:pPr>
    </w:p>
    <w:p w14:paraId="309B8700" w14:textId="5CA255DC" w:rsidR="00442AD0" w:rsidRPr="00C03BF2" w:rsidRDefault="000E62B4" w:rsidP="002B7FAB">
      <w:pPr>
        <w:autoSpaceDE w:val="0"/>
        <w:autoSpaceDN w:val="0"/>
        <w:adjustRightInd w:val="0"/>
        <w:ind w:left="28" w:firstLine="0"/>
        <w:jc w:val="both"/>
        <w:rPr>
          <w:rFonts w:ascii="Palatino Linotype" w:hAnsi="Palatino Linotype"/>
          <w:color w:val="000000"/>
          <w:sz w:val="24"/>
          <w:szCs w:val="24"/>
        </w:rPr>
      </w:pPr>
      <w:r w:rsidRPr="00C03BF2">
        <w:rPr>
          <w:rFonts w:ascii="Palatino Linotype" w:hAnsi="Palatino Linotype"/>
          <w:b/>
          <w:color w:val="000000"/>
          <w:sz w:val="24"/>
          <w:szCs w:val="24"/>
        </w:rPr>
        <w:t>ATTESO</w:t>
      </w:r>
      <w:r w:rsidR="00442AD0" w:rsidRPr="00C03BF2">
        <w:rPr>
          <w:rFonts w:ascii="Palatino Linotype" w:hAnsi="Palatino Linotype"/>
          <w:b/>
          <w:color w:val="000000"/>
          <w:sz w:val="24"/>
          <w:szCs w:val="24"/>
        </w:rPr>
        <w:t xml:space="preserve"> </w:t>
      </w:r>
      <w:r w:rsidR="001301F3" w:rsidRPr="00C03BF2">
        <w:rPr>
          <w:rFonts w:ascii="Palatino Linotype" w:hAnsi="Palatino Linotype"/>
          <w:b/>
          <w:bCs/>
          <w:color w:val="000000"/>
          <w:sz w:val="24"/>
          <w:szCs w:val="24"/>
        </w:rPr>
        <w:t>che per arginare la gravità del fenomeno le Istituzioni</w:t>
      </w:r>
      <w:r w:rsidR="005E4677" w:rsidRPr="00C03BF2">
        <w:rPr>
          <w:rFonts w:ascii="Palatino Linotype" w:hAnsi="Palatino Linotype"/>
          <w:b/>
          <w:bCs/>
          <w:color w:val="000000"/>
          <w:sz w:val="24"/>
          <w:szCs w:val="24"/>
        </w:rPr>
        <w:t xml:space="preserve"> pubbliche</w:t>
      </w:r>
      <w:r w:rsidR="001301F3" w:rsidRPr="00C03BF2">
        <w:rPr>
          <w:rFonts w:ascii="Palatino Linotype" w:hAnsi="Palatino Linotype"/>
          <w:b/>
          <w:bCs/>
          <w:color w:val="000000"/>
          <w:sz w:val="24"/>
          <w:szCs w:val="24"/>
        </w:rPr>
        <w:t xml:space="preserve"> sono già intervenute</w:t>
      </w:r>
      <w:r w:rsidR="005E4677" w:rsidRPr="00C03BF2">
        <w:rPr>
          <w:rFonts w:ascii="Palatino Linotype" w:hAnsi="Palatino Linotype"/>
          <w:b/>
          <w:bCs/>
          <w:color w:val="000000"/>
          <w:sz w:val="24"/>
          <w:szCs w:val="24"/>
        </w:rPr>
        <w:t xml:space="preserve"> con le seguenti disposizioni:</w:t>
      </w:r>
    </w:p>
    <w:p w14:paraId="03159EAC" w14:textId="1E98DDC5" w:rsidR="003B5801" w:rsidRPr="00C03BF2" w:rsidRDefault="00A753CE" w:rsidP="002B7FAB">
      <w:pPr>
        <w:pStyle w:val="Paragrafoelenco"/>
        <w:numPr>
          <w:ilvl w:val="0"/>
          <w:numId w:val="6"/>
        </w:numPr>
        <w:autoSpaceDE w:val="0"/>
        <w:autoSpaceDN w:val="0"/>
        <w:adjustRightInd w:val="0"/>
        <w:jc w:val="both"/>
        <w:rPr>
          <w:rFonts w:ascii="Palatino Linotype" w:hAnsi="Palatino Linotype"/>
          <w:sz w:val="24"/>
          <w:szCs w:val="24"/>
        </w:rPr>
      </w:pPr>
      <w:r w:rsidRPr="00C03BF2">
        <w:rPr>
          <w:rFonts w:ascii="Palatino Linotype" w:hAnsi="Palatino Linotype"/>
          <w:color w:val="000000"/>
          <w:sz w:val="24"/>
          <w:szCs w:val="24"/>
        </w:rPr>
        <w:t>la Commissione E</w:t>
      </w:r>
      <w:r w:rsidR="001301F3" w:rsidRPr="00C03BF2">
        <w:rPr>
          <w:rFonts w:ascii="Palatino Linotype" w:hAnsi="Palatino Linotype"/>
          <w:color w:val="000000"/>
          <w:sz w:val="24"/>
          <w:szCs w:val="24"/>
        </w:rPr>
        <w:t xml:space="preserve">uropea </w:t>
      </w:r>
      <w:r w:rsidR="000E62B4" w:rsidRPr="00C03BF2">
        <w:rPr>
          <w:rFonts w:ascii="Palatino Linotype" w:hAnsi="Palatino Linotype"/>
          <w:color w:val="000000"/>
          <w:sz w:val="24"/>
          <w:szCs w:val="24"/>
        </w:rPr>
        <w:t xml:space="preserve">in merito al </w:t>
      </w:r>
      <w:r w:rsidR="001301F3" w:rsidRPr="00C03BF2">
        <w:rPr>
          <w:rFonts w:ascii="Palatino Linotype" w:hAnsi="Palatino Linotype"/>
          <w:color w:val="000000"/>
          <w:sz w:val="24"/>
          <w:szCs w:val="24"/>
        </w:rPr>
        <w:t>gioco d'azzardo on line</w:t>
      </w:r>
      <w:r w:rsidR="000E62B4" w:rsidRPr="00C03BF2">
        <w:rPr>
          <w:rFonts w:ascii="Palatino Linotype" w:hAnsi="Palatino Linotype"/>
          <w:color w:val="000000"/>
          <w:sz w:val="24"/>
          <w:szCs w:val="24"/>
        </w:rPr>
        <w:t xml:space="preserve"> </w:t>
      </w:r>
      <w:r w:rsidR="001301F3" w:rsidRPr="00C03BF2">
        <w:rPr>
          <w:rFonts w:ascii="Palatino Linotype" w:hAnsi="Palatino Linotype"/>
          <w:color w:val="000000"/>
          <w:sz w:val="24"/>
          <w:szCs w:val="24"/>
        </w:rPr>
        <w:t xml:space="preserve">ha approvato il 14 luglio 2014 una </w:t>
      </w:r>
      <w:r w:rsidR="0009152B" w:rsidRPr="00C03BF2">
        <w:rPr>
          <w:rFonts w:ascii="Palatino Linotype" w:hAnsi="Palatino Linotype"/>
          <w:sz w:val="24"/>
          <w:szCs w:val="24"/>
        </w:rPr>
        <w:t>R</w:t>
      </w:r>
      <w:r w:rsidR="001301F3" w:rsidRPr="00C03BF2">
        <w:rPr>
          <w:rFonts w:ascii="Palatino Linotype" w:hAnsi="Palatino Linotype"/>
          <w:sz w:val="24"/>
          <w:szCs w:val="24"/>
        </w:rPr>
        <w:t>accomandazione agli Stati membri contenente le linee guida al fine di tutelare più efficacemente tutti i cittadini europei, in particolare i minori, dai rischi associati al gioco d'azzardo nel settore digitale, in rapida espansione;</w:t>
      </w:r>
    </w:p>
    <w:p w14:paraId="69808077" w14:textId="7A58FC27" w:rsidR="00A0251A" w:rsidRDefault="00A0251A" w:rsidP="002B7FAB">
      <w:pPr>
        <w:pStyle w:val="Paragrafoelenco"/>
        <w:numPr>
          <w:ilvl w:val="0"/>
          <w:numId w:val="6"/>
        </w:numPr>
        <w:autoSpaceDE w:val="0"/>
        <w:autoSpaceDN w:val="0"/>
        <w:adjustRightInd w:val="0"/>
        <w:jc w:val="both"/>
        <w:rPr>
          <w:rFonts w:ascii="Palatino Linotype" w:hAnsi="Palatino Linotype"/>
          <w:sz w:val="24"/>
          <w:szCs w:val="24"/>
        </w:rPr>
      </w:pPr>
      <w:r w:rsidRPr="00C03BF2">
        <w:rPr>
          <w:rFonts w:ascii="Palatino Linotype" w:hAnsi="Palatino Linotype"/>
          <w:sz w:val="24"/>
          <w:szCs w:val="24"/>
        </w:rPr>
        <w:t>la Corte di Giustizia Europea con sentenza del 22 ottobre 2014 ha ritenuto le esigenze di tutela della salute del tutto prevalenti rispetto a quelle economiche;</w:t>
      </w:r>
    </w:p>
    <w:p w14:paraId="11398B2E" w14:textId="49F9BF88" w:rsidR="003B5801" w:rsidRDefault="00A753CE" w:rsidP="00C03BF2">
      <w:pPr>
        <w:pStyle w:val="Paragrafoelenco"/>
        <w:numPr>
          <w:ilvl w:val="0"/>
          <w:numId w:val="6"/>
        </w:numPr>
        <w:autoSpaceDE w:val="0"/>
        <w:autoSpaceDN w:val="0"/>
        <w:adjustRightInd w:val="0"/>
        <w:jc w:val="both"/>
        <w:rPr>
          <w:rFonts w:ascii="Palatino Linotype" w:hAnsi="Palatino Linotype"/>
          <w:sz w:val="24"/>
          <w:szCs w:val="24"/>
        </w:rPr>
      </w:pPr>
      <w:r w:rsidRPr="00C03BF2">
        <w:rPr>
          <w:rFonts w:ascii="Palatino Linotype" w:hAnsi="Palatino Linotype"/>
          <w:sz w:val="24"/>
          <w:szCs w:val="24"/>
        </w:rPr>
        <w:t>il legislatore statale ha adottato la legge delega 11.3.2014, n. 23 che prevede all’art. 14 specifiche disposizioni per tut</w:t>
      </w:r>
      <w:r w:rsidR="00D671A9" w:rsidRPr="00C03BF2">
        <w:rPr>
          <w:rFonts w:ascii="Palatino Linotype" w:hAnsi="Palatino Linotype"/>
          <w:sz w:val="24"/>
          <w:szCs w:val="24"/>
        </w:rPr>
        <w:t>elare</w:t>
      </w:r>
      <w:r w:rsidRPr="00C03BF2">
        <w:rPr>
          <w:rFonts w:ascii="Palatino Linotype" w:hAnsi="Palatino Linotype"/>
          <w:sz w:val="24"/>
          <w:szCs w:val="24"/>
        </w:rPr>
        <w:t xml:space="preserve"> i minori dalla pubblicità dei giochi, per recuperare i fenomeni di ludopatia e per vietare la pubblicità dei giochi con vincite in denaro nelle trasmissioni televisive;</w:t>
      </w:r>
    </w:p>
    <w:p w14:paraId="47E4D764" w14:textId="08BECFB0" w:rsidR="003048BA" w:rsidRDefault="00A753CE" w:rsidP="00C03BF2">
      <w:pPr>
        <w:pStyle w:val="Paragrafoelenco"/>
        <w:numPr>
          <w:ilvl w:val="0"/>
          <w:numId w:val="6"/>
        </w:numPr>
        <w:autoSpaceDE w:val="0"/>
        <w:autoSpaceDN w:val="0"/>
        <w:adjustRightInd w:val="0"/>
        <w:jc w:val="both"/>
        <w:rPr>
          <w:rFonts w:ascii="Palatino Linotype" w:hAnsi="Palatino Linotype"/>
          <w:sz w:val="24"/>
          <w:szCs w:val="24"/>
        </w:rPr>
      </w:pPr>
      <w:r w:rsidRPr="00C03BF2">
        <w:rPr>
          <w:rFonts w:ascii="Palatino Linotype" w:hAnsi="Palatino Linotype"/>
          <w:sz w:val="24"/>
          <w:szCs w:val="24"/>
        </w:rPr>
        <w:lastRenderedPageBreak/>
        <w:t>le medesime disposizioni sono contenute anche nell’art. 7 del D.L. 13.9.2012, n. 158 convertito nella legge 8.11.2012, n. 189 ed erano già previste nell’art. 24 del D.L. 6.7.2011, n. 98 convertito nella legge 15.7.2011, n. 111;</w:t>
      </w:r>
    </w:p>
    <w:p w14:paraId="1D0FAEE4" w14:textId="5B1793A6" w:rsidR="003048BA" w:rsidRDefault="003048BA" w:rsidP="00C03BF2">
      <w:pPr>
        <w:pStyle w:val="Paragrafoelenco"/>
        <w:numPr>
          <w:ilvl w:val="0"/>
          <w:numId w:val="6"/>
        </w:numPr>
        <w:autoSpaceDE w:val="0"/>
        <w:autoSpaceDN w:val="0"/>
        <w:adjustRightInd w:val="0"/>
        <w:jc w:val="both"/>
        <w:rPr>
          <w:rFonts w:ascii="Palatino Linotype" w:hAnsi="Palatino Linotype"/>
          <w:sz w:val="24"/>
          <w:szCs w:val="24"/>
        </w:rPr>
      </w:pPr>
      <w:r w:rsidRPr="00C03BF2">
        <w:rPr>
          <w:rFonts w:ascii="Palatino Linotype" w:hAnsi="Palatino Linotype"/>
          <w:sz w:val="24"/>
          <w:szCs w:val="24"/>
        </w:rPr>
        <w:t xml:space="preserve">la </w:t>
      </w:r>
      <w:r w:rsidR="00196C5B" w:rsidRPr="00C03BF2">
        <w:rPr>
          <w:rFonts w:ascii="Palatino Linotype" w:hAnsi="Palatino Linotype"/>
          <w:sz w:val="24"/>
          <w:szCs w:val="24"/>
        </w:rPr>
        <w:t>R</w:t>
      </w:r>
      <w:r w:rsidRPr="00C03BF2">
        <w:rPr>
          <w:rFonts w:ascii="Palatino Linotype" w:hAnsi="Palatino Linotype"/>
          <w:sz w:val="24"/>
          <w:szCs w:val="24"/>
        </w:rPr>
        <w:t>egione Veneto con deliberazione della Giunta regionale n. 749 in data 28 maggio 2018 ha approvato il Piano operativo regionale Gioco d’azzardo patologico, per attuare iniziative volte a rafforzare le capacità dei propri servizi di offrire concrete risposte sociosanitarie ai bisogni di salute correlati al gioco d’azzardo compulsivo;</w:t>
      </w:r>
    </w:p>
    <w:p w14:paraId="2BC1044E" w14:textId="6A3A6281" w:rsidR="001301F3" w:rsidRPr="00C03BF2" w:rsidRDefault="00C03BF2" w:rsidP="00C03BF2">
      <w:pPr>
        <w:pStyle w:val="Paragrafoelenco"/>
        <w:numPr>
          <w:ilvl w:val="0"/>
          <w:numId w:val="6"/>
        </w:numPr>
        <w:autoSpaceDE w:val="0"/>
        <w:autoSpaceDN w:val="0"/>
        <w:adjustRightInd w:val="0"/>
        <w:jc w:val="both"/>
        <w:rPr>
          <w:rFonts w:ascii="Palatino Linotype" w:hAnsi="Palatino Linotype"/>
          <w:sz w:val="24"/>
          <w:szCs w:val="24"/>
        </w:rPr>
      </w:pPr>
      <w:r>
        <w:rPr>
          <w:rFonts w:ascii="Palatino Linotype" w:hAnsi="Palatino Linotype"/>
          <w:sz w:val="24"/>
          <w:szCs w:val="24"/>
        </w:rPr>
        <w:t>l</w:t>
      </w:r>
      <w:r w:rsidR="0082113C" w:rsidRPr="00C03BF2">
        <w:rPr>
          <w:rFonts w:ascii="Palatino Linotype" w:hAnsi="Palatino Linotype"/>
          <w:sz w:val="24"/>
          <w:szCs w:val="24"/>
        </w:rPr>
        <w:t xml:space="preserve">a </w:t>
      </w:r>
      <w:r>
        <w:rPr>
          <w:rFonts w:ascii="Palatino Linotype" w:hAnsi="Palatino Linotype"/>
          <w:sz w:val="24"/>
          <w:szCs w:val="24"/>
        </w:rPr>
        <w:t>R</w:t>
      </w:r>
      <w:r w:rsidR="0082113C" w:rsidRPr="00C03BF2">
        <w:rPr>
          <w:rFonts w:ascii="Palatino Linotype" w:hAnsi="Palatino Linotype"/>
          <w:sz w:val="24"/>
          <w:szCs w:val="24"/>
        </w:rPr>
        <w:t xml:space="preserve">egione Veneto </w:t>
      </w:r>
      <w:r w:rsidR="001301F3" w:rsidRPr="00C03BF2">
        <w:rPr>
          <w:rFonts w:ascii="Palatino Linotype" w:hAnsi="Palatino Linotype"/>
          <w:sz w:val="24"/>
          <w:szCs w:val="24"/>
        </w:rPr>
        <w:t>con l</w:t>
      </w:r>
      <w:r w:rsidR="00AC22D3" w:rsidRPr="00C03BF2">
        <w:rPr>
          <w:rFonts w:ascii="Palatino Linotype" w:hAnsi="Palatino Linotype"/>
          <w:sz w:val="24"/>
          <w:szCs w:val="24"/>
        </w:rPr>
        <w:t>a legge 10 settembre 2019 n. 38</w:t>
      </w:r>
      <w:r w:rsidR="001301F3" w:rsidRPr="00C03BF2">
        <w:rPr>
          <w:rFonts w:ascii="Palatino Linotype" w:hAnsi="Palatino Linotype"/>
          <w:sz w:val="24"/>
          <w:szCs w:val="24"/>
        </w:rPr>
        <w:t xml:space="preserve"> </w:t>
      </w:r>
      <w:r w:rsidR="00AC22D3" w:rsidRPr="00C03BF2">
        <w:rPr>
          <w:rFonts w:ascii="Palatino Linotype" w:hAnsi="Palatino Linotype"/>
          <w:sz w:val="24"/>
          <w:szCs w:val="24"/>
        </w:rPr>
        <w:t>è nuovamente intervenut</w:t>
      </w:r>
      <w:r w:rsidR="00886E03" w:rsidRPr="00C03BF2">
        <w:rPr>
          <w:rFonts w:ascii="Palatino Linotype" w:hAnsi="Palatino Linotype"/>
          <w:sz w:val="24"/>
          <w:szCs w:val="24"/>
        </w:rPr>
        <w:t>a</w:t>
      </w:r>
      <w:r w:rsidR="00F052E9" w:rsidRPr="00C03BF2">
        <w:rPr>
          <w:rFonts w:ascii="Palatino Linotype" w:hAnsi="Palatino Linotype"/>
          <w:sz w:val="24"/>
          <w:szCs w:val="24"/>
        </w:rPr>
        <w:t xml:space="preserve"> </w:t>
      </w:r>
      <w:r w:rsidR="001301F3" w:rsidRPr="00C03BF2">
        <w:rPr>
          <w:rFonts w:ascii="Palatino Linotype" w:hAnsi="Palatino Linotype"/>
          <w:sz w:val="24"/>
          <w:szCs w:val="24"/>
        </w:rPr>
        <w:t>in materia di prevenzione, contrasto e riduzione del rischio della dipendenza d</w:t>
      </w:r>
      <w:r w:rsidR="00842084" w:rsidRPr="00C03BF2">
        <w:rPr>
          <w:rFonts w:ascii="Palatino Linotype" w:hAnsi="Palatino Linotype"/>
          <w:sz w:val="24"/>
          <w:szCs w:val="24"/>
        </w:rPr>
        <w:t>a</w:t>
      </w:r>
      <w:r w:rsidR="001301F3" w:rsidRPr="00C03BF2">
        <w:rPr>
          <w:rFonts w:ascii="Palatino Linotype" w:hAnsi="Palatino Linotype"/>
          <w:sz w:val="24"/>
          <w:szCs w:val="24"/>
        </w:rPr>
        <w:t>l gioco d’azzardo patologico</w:t>
      </w:r>
      <w:r w:rsidR="00AC22D3" w:rsidRPr="00C03BF2">
        <w:rPr>
          <w:rFonts w:ascii="Palatino Linotype" w:hAnsi="Palatino Linotype"/>
          <w:sz w:val="24"/>
          <w:szCs w:val="24"/>
        </w:rPr>
        <w:t>, dettando specifiche disposizioni in merito alla localizzazione delle sale gioco, agli orari, agli obblighi dei titolari e alle conseguenti sanzioni in caso di violazione delle prescrizioni</w:t>
      </w:r>
      <w:r w:rsidR="001301F3" w:rsidRPr="00C03BF2">
        <w:rPr>
          <w:rFonts w:ascii="Palatino Linotype" w:hAnsi="Palatino Linotype"/>
          <w:sz w:val="24"/>
          <w:szCs w:val="24"/>
        </w:rPr>
        <w:t>;</w:t>
      </w:r>
    </w:p>
    <w:p w14:paraId="26CF0106" w14:textId="77777777" w:rsidR="001301F3" w:rsidRPr="00C03BF2" w:rsidRDefault="001301F3" w:rsidP="002B7FAB">
      <w:pPr>
        <w:ind w:left="0" w:firstLine="0"/>
        <w:jc w:val="both"/>
        <w:rPr>
          <w:rFonts w:ascii="Palatino Linotype" w:hAnsi="Palatino Linotype"/>
          <w:sz w:val="24"/>
          <w:szCs w:val="24"/>
        </w:rPr>
      </w:pPr>
    </w:p>
    <w:p w14:paraId="6E67111A" w14:textId="7E0B5706" w:rsidR="001301F3" w:rsidRPr="00C03BF2" w:rsidRDefault="001301F3" w:rsidP="002B7FAB">
      <w:pPr>
        <w:autoSpaceDE w:val="0"/>
        <w:autoSpaceDN w:val="0"/>
        <w:adjustRightInd w:val="0"/>
        <w:spacing w:before="120"/>
        <w:ind w:left="28" w:firstLine="0"/>
        <w:jc w:val="both"/>
        <w:rPr>
          <w:rFonts w:ascii="Palatino Linotype" w:hAnsi="Palatino Linotype"/>
          <w:b/>
          <w:bCs/>
          <w:sz w:val="24"/>
          <w:szCs w:val="24"/>
        </w:rPr>
      </w:pPr>
      <w:r w:rsidRPr="00C03BF2">
        <w:rPr>
          <w:rFonts w:ascii="Palatino Linotype" w:hAnsi="Palatino Linotype"/>
          <w:b/>
          <w:bCs/>
          <w:color w:val="000000"/>
          <w:sz w:val="24"/>
          <w:szCs w:val="24"/>
        </w:rPr>
        <w:t>RITENUTO</w:t>
      </w:r>
      <w:r w:rsidR="00A753CE" w:rsidRPr="00C03BF2">
        <w:rPr>
          <w:rFonts w:ascii="Palatino Linotype" w:hAnsi="Palatino Linotype"/>
          <w:b/>
          <w:bCs/>
          <w:color w:val="000000"/>
          <w:sz w:val="24"/>
          <w:szCs w:val="24"/>
        </w:rPr>
        <w:t xml:space="preserve"> </w:t>
      </w:r>
    </w:p>
    <w:p w14:paraId="2620B589" w14:textId="66848040" w:rsidR="004138FF" w:rsidRPr="00C03BF2" w:rsidRDefault="001301F3" w:rsidP="00C03BF2">
      <w:pPr>
        <w:pStyle w:val="Paragrafoelenco"/>
        <w:numPr>
          <w:ilvl w:val="0"/>
          <w:numId w:val="2"/>
        </w:numPr>
        <w:autoSpaceDE w:val="0"/>
        <w:autoSpaceDN w:val="0"/>
        <w:adjustRightInd w:val="0"/>
        <w:ind w:left="709" w:hanging="425"/>
        <w:jc w:val="both"/>
        <w:rPr>
          <w:rFonts w:ascii="Palatino Linotype" w:hAnsi="Palatino Linotype"/>
          <w:sz w:val="24"/>
          <w:szCs w:val="24"/>
        </w:rPr>
      </w:pPr>
      <w:r w:rsidRPr="00C03BF2">
        <w:rPr>
          <w:rFonts w:ascii="Palatino Linotype" w:hAnsi="Palatino Linotype"/>
          <w:sz w:val="24"/>
          <w:szCs w:val="24"/>
        </w:rPr>
        <w:t xml:space="preserve">che anche </w:t>
      </w:r>
      <w:r w:rsidR="00473460" w:rsidRPr="00C03BF2">
        <w:rPr>
          <w:rFonts w:ascii="Palatino Linotype" w:hAnsi="Palatino Linotype"/>
          <w:sz w:val="24"/>
          <w:szCs w:val="24"/>
        </w:rPr>
        <w:t xml:space="preserve">questa Amministrazione comunale </w:t>
      </w:r>
      <w:r w:rsidRPr="00C03BF2">
        <w:rPr>
          <w:rFonts w:ascii="Palatino Linotype" w:hAnsi="Palatino Linotype"/>
          <w:sz w:val="24"/>
          <w:szCs w:val="24"/>
        </w:rPr>
        <w:t xml:space="preserve">debba affrontare la problematica, a tutela della propria comunità, </w:t>
      </w:r>
      <w:r w:rsidR="000E1B89" w:rsidRPr="00C03BF2">
        <w:rPr>
          <w:rFonts w:ascii="Palatino Linotype" w:hAnsi="Palatino Linotype"/>
          <w:sz w:val="24"/>
          <w:szCs w:val="24"/>
        </w:rPr>
        <w:t>in sintonia con il disposto</w:t>
      </w:r>
      <w:r w:rsidRPr="00C03BF2">
        <w:rPr>
          <w:rFonts w:ascii="Palatino Linotype" w:hAnsi="Palatino Linotype"/>
          <w:sz w:val="24"/>
          <w:szCs w:val="24"/>
        </w:rPr>
        <w:t xml:space="preserve"> dell'art. 3, comma 2, del </w:t>
      </w:r>
      <w:proofErr w:type="spellStart"/>
      <w:r w:rsidRPr="00C03BF2">
        <w:rPr>
          <w:rFonts w:ascii="Palatino Linotype" w:hAnsi="Palatino Linotype"/>
          <w:sz w:val="24"/>
          <w:szCs w:val="24"/>
        </w:rPr>
        <w:t>D.Lgs</w:t>
      </w:r>
      <w:r w:rsidR="00A753CE" w:rsidRPr="00C03BF2">
        <w:rPr>
          <w:rFonts w:ascii="Palatino Linotype" w:hAnsi="Palatino Linotype"/>
          <w:sz w:val="24"/>
          <w:szCs w:val="24"/>
        </w:rPr>
        <w:t>.</w:t>
      </w:r>
      <w:proofErr w:type="spellEnd"/>
      <w:r w:rsidR="00A753CE" w:rsidRPr="00C03BF2">
        <w:rPr>
          <w:rFonts w:ascii="Palatino Linotype" w:hAnsi="Palatino Linotype"/>
          <w:sz w:val="24"/>
          <w:szCs w:val="24"/>
        </w:rPr>
        <w:t xml:space="preserve"> </w:t>
      </w:r>
      <w:r w:rsidRPr="00C03BF2">
        <w:rPr>
          <w:rFonts w:ascii="Palatino Linotype" w:hAnsi="Palatino Linotype"/>
          <w:sz w:val="24"/>
          <w:szCs w:val="24"/>
        </w:rPr>
        <w:t xml:space="preserve"> n. 267/2000, che recita </w:t>
      </w:r>
      <w:r w:rsidRPr="00C03BF2">
        <w:rPr>
          <w:rFonts w:ascii="Palatino Linotype" w:hAnsi="Palatino Linotype"/>
          <w:i/>
          <w:iCs/>
          <w:sz w:val="24"/>
          <w:szCs w:val="24"/>
        </w:rPr>
        <w:t>“il Comune è l'Ente locale che rappresenta la propria comunità, ne cura gli interessi e ne promuove lo sviluppo”;</w:t>
      </w:r>
    </w:p>
    <w:p w14:paraId="67364242" w14:textId="4D85A016" w:rsidR="00287FDB" w:rsidRDefault="00287FDB" w:rsidP="00C03BF2">
      <w:pPr>
        <w:pStyle w:val="Paragrafoelenco"/>
        <w:numPr>
          <w:ilvl w:val="0"/>
          <w:numId w:val="2"/>
        </w:numPr>
        <w:autoSpaceDE w:val="0"/>
        <w:autoSpaceDN w:val="0"/>
        <w:adjustRightInd w:val="0"/>
        <w:ind w:left="709" w:hanging="425"/>
        <w:jc w:val="both"/>
        <w:rPr>
          <w:rFonts w:ascii="Palatino Linotype" w:hAnsi="Palatino Linotype"/>
          <w:sz w:val="24"/>
          <w:szCs w:val="24"/>
        </w:rPr>
      </w:pPr>
      <w:r w:rsidRPr="00C03BF2">
        <w:rPr>
          <w:rFonts w:ascii="Palatino Linotype" w:hAnsi="Palatino Linotype"/>
          <w:sz w:val="24"/>
          <w:szCs w:val="24"/>
        </w:rPr>
        <w:t xml:space="preserve">che l’assessorato ai servizi sociali del </w:t>
      </w:r>
      <w:r w:rsidR="001C5386" w:rsidRPr="00C03BF2">
        <w:rPr>
          <w:rFonts w:ascii="Palatino Linotype" w:hAnsi="Palatino Linotype"/>
          <w:sz w:val="24"/>
          <w:szCs w:val="24"/>
        </w:rPr>
        <w:t>C</w:t>
      </w:r>
      <w:r w:rsidRPr="00C03BF2">
        <w:rPr>
          <w:rFonts w:ascii="Palatino Linotype" w:hAnsi="Palatino Linotype"/>
          <w:sz w:val="24"/>
          <w:szCs w:val="24"/>
        </w:rPr>
        <w:t>omune ha posto in essere, già da tempo, diverse iniziative volte al contrasto della patologia derivante dal gioco d’azzardo</w:t>
      </w:r>
      <w:r w:rsidR="00E15C8B" w:rsidRPr="00C03BF2">
        <w:rPr>
          <w:rFonts w:ascii="Palatino Linotype" w:hAnsi="Palatino Linotype"/>
          <w:sz w:val="24"/>
          <w:szCs w:val="24"/>
        </w:rPr>
        <w:t xml:space="preserve"> compulsivo</w:t>
      </w:r>
      <w:r w:rsidRPr="00C03BF2">
        <w:rPr>
          <w:rFonts w:ascii="Palatino Linotype" w:hAnsi="Palatino Linotype"/>
          <w:sz w:val="24"/>
          <w:szCs w:val="24"/>
        </w:rPr>
        <w:t>;</w:t>
      </w:r>
    </w:p>
    <w:p w14:paraId="5F7AC148" w14:textId="2BCBC9C9" w:rsidR="004138FF" w:rsidRDefault="004138FF" w:rsidP="00C03BF2">
      <w:pPr>
        <w:pStyle w:val="Paragrafoelenco"/>
        <w:numPr>
          <w:ilvl w:val="0"/>
          <w:numId w:val="2"/>
        </w:numPr>
        <w:autoSpaceDE w:val="0"/>
        <w:autoSpaceDN w:val="0"/>
        <w:adjustRightInd w:val="0"/>
        <w:ind w:left="709" w:hanging="425"/>
        <w:jc w:val="both"/>
        <w:rPr>
          <w:rFonts w:ascii="Palatino Linotype" w:hAnsi="Palatino Linotype"/>
          <w:sz w:val="24"/>
          <w:szCs w:val="24"/>
        </w:rPr>
      </w:pPr>
      <w:r w:rsidRPr="00C03BF2">
        <w:rPr>
          <w:rFonts w:ascii="Palatino Linotype" w:hAnsi="Palatino Linotype"/>
          <w:sz w:val="24"/>
          <w:szCs w:val="24"/>
        </w:rPr>
        <w:t>che la Giunta comunale con deliberazione n.</w:t>
      </w:r>
      <w:proofErr w:type="gramStart"/>
      <w:r w:rsidRPr="00C03BF2">
        <w:rPr>
          <w:rFonts w:ascii="Palatino Linotype" w:hAnsi="Palatino Linotype"/>
          <w:sz w:val="24"/>
          <w:szCs w:val="24"/>
        </w:rPr>
        <w:t xml:space="preserve"> ….</w:t>
      </w:r>
      <w:proofErr w:type="gramEnd"/>
      <w:r w:rsidRPr="00C03BF2">
        <w:rPr>
          <w:rFonts w:ascii="Palatino Linotype" w:hAnsi="Palatino Linotype"/>
          <w:sz w:val="24"/>
          <w:szCs w:val="24"/>
        </w:rPr>
        <w:t>. in data …</w:t>
      </w:r>
      <w:proofErr w:type="gramStart"/>
      <w:r w:rsidRPr="00C03BF2">
        <w:rPr>
          <w:rFonts w:ascii="Palatino Linotype" w:hAnsi="Palatino Linotype"/>
          <w:sz w:val="24"/>
          <w:szCs w:val="24"/>
        </w:rPr>
        <w:t>…….</w:t>
      </w:r>
      <w:proofErr w:type="gramEnd"/>
      <w:r w:rsidRPr="00C03BF2">
        <w:rPr>
          <w:rFonts w:ascii="Palatino Linotype" w:hAnsi="Palatino Linotype"/>
          <w:sz w:val="24"/>
          <w:szCs w:val="24"/>
        </w:rPr>
        <w:t>. ha recepito il Manifesto dei Sindaci per la legalità contro il gioco d’azzardo;</w:t>
      </w:r>
    </w:p>
    <w:p w14:paraId="2798C455" w14:textId="10C42753" w:rsidR="001301F3" w:rsidRPr="00630C6C" w:rsidRDefault="001301F3" w:rsidP="00C03BF2">
      <w:pPr>
        <w:pStyle w:val="Paragrafoelenco"/>
        <w:numPr>
          <w:ilvl w:val="0"/>
          <w:numId w:val="2"/>
        </w:numPr>
        <w:autoSpaceDE w:val="0"/>
        <w:autoSpaceDN w:val="0"/>
        <w:adjustRightInd w:val="0"/>
        <w:ind w:left="709" w:hanging="425"/>
        <w:jc w:val="both"/>
        <w:rPr>
          <w:rFonts w:ascii="Palatino Linotype" w:hAnsi="Palatino Linotype"/>
          <w:sz w:val="24"/>
          <w:szCs w:val="24"/>
          <w:highlight w:val="yellow"/>
        </w:rPr>
      </w:pPr>
      <w:r w:rsidRPr="00C03BF2">
        <w:rPr>
          <w:rFonts w:ascii="Palatino Linotype" w:hAnsi="Palatino Linotype"/>
          <w:sz w:val="24"/>
          <w:szCs w:val="24"/>
        </w:rPr>
        <w:t>che la necessità</w:t>
      </w:r>
      <w:r w:rsidRPr="00C03BF2">
        <w:rPr>
          <w:rFonts w:ascii="Palatino Linotype" w:hAnsi="Palatino Linotype"/>
          <w:color w:val="000000"/>
          <w:sz w:val="24"/>
          <w:szCs w:val="24"/>
        </w:rPr>
        <w:t xml:space="preserve"> di intervenire </w:t>
      </w:r>
      <w:r w:rsidR="005E6175" w:rsidRPr="00C03BF2">
        <w:rPr>
          <w:rFonts w:ascii="Palatino Linotype" w:hAnsi="Palatino Linotype"/>
          <w:color w:val="000000"/>
          <w:sz w:val="24"/>
          <w:szCs w:val="24"/>
        </w:rPr>
        <w:t>viene</w:t>
      </w:r>
      <w:r w:rsidRPr="00C03BF2">
        <w:rPr>
          <w:rFonts w:ascii="Palatino Linotype" w:hAnsi="Palatino Linotype"/>
          <w:color w:val="000000"/>
          <w:sz w:val="24"/>
          <w:szCs w:val="24"/>
        </w:rPr>
        <w:t xml:space="preserve"> rafforzata, sul piano istruttorio, dalla circostanza che anche nel territorio trevigiano il diffondersi del gioco d'azzardo lecito si configura come un pericolo per la salute pubblica</w:t>
      </w:r>
      <w:r w:rsidR="00FE3C6F" w:rsidRPr="00C03BF2">
        <w:rPr>
          <w:rFonts w:ascii="Palatino Linotype" w:hAnsi="Palatino Linotype"/>
          <w:color w:val="000000"/>
          <w:sz w:val="24"/>
          <w:szCs w:val="24"/>
        </w:rPr>
        <w:t>,</w:t>
      </w:r>
      <w:r w:rsidR="00915637">
        <w:rPr>
          <w:rFonts w:ascii="Palatino Linotype" w:hAnsi="Palatino Linotype"/>
          <w:color w:val="000000"/>
          <w:sz w:val="24"/>
          <w:szCs w:val="24"/>
        </w:rPr>
        <w:t xml:space="preserve"> anche se negli ultimi anni si è osservata una leggera diminuzione del numero dei pazienti grazie alle varie ordinanze, regolamenti e infine alla LR 38/2019</w:t>
      </w:r>
      <w:r w:rsidRPr="00C03BF2">
        <w:rPr>
          <w:rFonts w:ascii="Palatino Linotype" w:hAnsi="Palatino Linotype"/>
          <w:color w:val="000000"/>
          <w:sz w:val="24"/>
          <w:szCs w:val="24"/>
        </w:rPr>
        <w:t xml:space="preserve">, come sottolineato nella relazione in data </w:t>
      </w:r>
      <w:r w:rsidR="00E22335">
        <w:rPr>
          <w:rFonts w:ascii="Palatino Linotype" w:hAnsi="Palatino Linotype"/>
          <w:color w:val="000000"/>
          <w:sz w:val="24"/>
          <w:szCs w:val="24"/>
        </w:rPr>
        <w:t>18 dicembre</w:t>
      </w:r>
      <w:r w:rsidRPr="00C03BF2">
        <w:rPr>
          <w:rFonts w:ascii="Palatino Linotype" w:hAnsi="Palatino Linotype"/>
          <w:color w:val="000000"/>
          <w:sz w:val="24"/>
          <w:szCs w:val="24"/>
        </w:rPr>
        <w:t xml:space="preserve"> 20</w:t>
      </w:r>
      <w:r w:rsidR="00E22335">
        <w:rPr>
          <w:rFonts w:ascii="Palatino Linotype" w:hAnsi="Palatino Linotype"/>
          <w:color w:val="000000"/>
          <w:sz w:val="24"/>
          <w:szCs w:val="24"/>
        </w:rPr>
        <w:t>20</w:t>
      </w:r>
      <w:r w:rsidRPr="00C03BF2">
        <w:rPr>
          <w:rFonts w:ascii="Palatino Linotype" w:hAnsi="Palatino Linotype"/>
          <w:color w:val="000000"/>
          <w:sz w:val="24"/>
          <w:szCs w:val="24"/>
        </w:rPr>
        <w:t xml:space="preserve"> prot. </w:t>
      </w:r>
      <w:r w:rsidR="00E22335">
        <w:rPr>
          <w:rFonts w:ascii="Palatino Linotype" w:hAnsi="Palatino Linotype"/>
          <w:color w:val="000000"/>
          <w:sz w:val="24"/>
          <w:szCs w:val="24"/>
        </w:rPr>
        <w:t>204645</w:t>
      </w:r>
      <w:r w:rsidRPr="00C03BF2">
        <w:rPr>
          <w:rFonts w:ascii="Palatino Linotype" w:hAnsi="Palatino Linotype"/>
          <w:color w:val="000000"/>
          <w:sz w:val="24"/>
          <w:szCs w:val="24"/>
        </w:rPr>
        <w:t xml:space="preserve"> del Dipartimento per le Dipendenze dell'Azienda ULSS2 Marca Trevigiana, che </w:t>
      </w:r>
      <w:r w:rsidR="00ED4826">
        <w:rPr>
          <w:rFonts w:ascii="Palatino Linotype" w:hAnsi="Palatino Linotype"/>
          <w:color w:val="000000"/>
          <w:sz w:val="24"/>
          <w:szCs w:val="24"/>
        </w:rPr>
        <w:t xml:space="preserve">contiene i dati aggiornati al 2019 dei volumi di gioco, che evidenzia che sono in aumento i giocatori d’azzardo nella popolazione adulta ( 15-64 anni), che la quota dei giocatori con profilo “a rischio severo” è in costante aumento dal 2007 e </w:t>
      </w:r>
      <w:r w:rsidRPr="00C03BF2">
        <w:rPr>
          <w:rFonts w:ascii="Palatino Linotype" w:hAnsi="Palatino Linotype"/>
          <w:color w:val="000000"/>
          <w:sz w:val="24"/>
          <w:szCs w:val="24"/>
        </w:rPr>
        <w:t xml:space="preserve">colloca la Regione Veneto al </w:t>
      </w:r>
      <w:r w:rsidR="00ED4826">
        <w:rPr>
          <w:rFonts w:ascii="Palatino Linotype" w:hAnsi="Palatino Linotype"/>
          <w:color w:val="000000"/>
          <w:sz w:val="24"/>
          <w:szCs w:val="24"/>
        </w:rPr>
        <w:t>2</w:t>
      </w:r>
      <w:r w:rsidRPr="00C03BF2">
        <w:rPr>
          <w:rFonts w:ascii="Palatino Linotype" w:hAnsi="Palatino Linotype"/>
          <w:color w:val="000000"/>
          <w:sz w:val="24"/>
          <w:szCs w:val="24"/>
        </w:rPr>
        <w:t>° posto per volume di gioco</w:t>
      </w:r>
      <w:r w:rsidR="00ED4826">
        <w:rPr>
          <w:rFonts w:ascii="Palatino Linotype" w:hAnsi="Palatino Linotype"/>
          <w:color w:val="000000"/>
          <w:sz w:val="24"/>
          <w:szCs w:val="24"/>
        </w:rPr>
        <w:t>, dietro solo alla Lombardia</w:t>
      </w:r>
      <w:r w:rsidRPr="00C03BF2">
        <w:rPr>
          <w:rFonts w:ascii="Palatino Linotype" w:hAnsi="Palatino Linotype"/>
          <w:color w:val="000000"/>
          <w:sz w:val="24"/>
          <w:szCs w:val="24"/>
        </w:rPr>
        <w:t xml:space="preserve"> ed evidenzia </w:t>
      </w:r>
      <w:r w:rsidR="00ED4826">
        <w:rPr>
          <w:rFonts w:ascii="Palatino Linotype" w:hAnsi="Palatino Linotype"/>
          <w:color w:val="000000"/>
          <w:sz w:val="24"/>
          <w:szCs w:val="24"/>
        </w:rPr>
        <w:t xml:space="preserve">i dati 2019 </w:t>
      </w:r>
      <w:r w:rsidRPr="00C03BF2">
        <w:rPr>
          <w:rFonts w:ascii="Palatino Linotype" w:hAnsi="Palatino Linotype"/>
          <w:color w:val="000000"/>
          <w:sz w:val="24"/>
          <w:szCs w:val="24"/>
        </w:rPr>
        <w:t xml:space="preserve"> </w:t>
      </w:r>
      <w:r w:rsidR="00ED4826">
        <w:rPr>
          <w:rFonts w:ascii="Palatino Linotype" w:hAnsi="Palatino Linotype"/>
          <w:color w:val="000000"/>
          <w:sz w:val="24"/>
          <w:szCs w:val="24"/>
        </w:rPr>
        <w:t>de</w:t>
      </w:r>
      <w:r w:rsidR="00CC7F63">
        <w:rPr>
          <w:rFonts w:ascii="Palatino Linotype" w:hAnsi="Palatino Linotype"/>
          <w:color w:val="000000"/>
          <w:sz w:val="24"/>
          <w:szCs w:val="24"/>
        </w:rPr>
        <w:t>gli utenti per i quali viene richiesto il trattamento</w:t>
      </w:r>
      <w:r w:rsidR="00ED4826">
        <w:rPr>
          <w:rFonts w:ascii="Palatino Linotype" w:hAnsi="Palatino Linotype"/>
          <w:color w:val="000000"/>
          <w:sz w:val="24"/>
          <w:szCs w:val="24"/>
        </w:rPr>
        <w:t xml:space="preserve">, che </w:t>
      </w:r>
      <w:r w:rsidR="00CC7F63">
        <w:rPr>
          <w:rFonts w:ascii="Palatino Linotype" w:hAnsi="Palatino Linotype"/>
          <w:color w:val="000000"/>
          <w:sz w:val="24"/>
          <w:szCs w:val="24"/>
        </w:rPr>
        <w:t xml:space="preserve">sono stati </w:t>
      </w:r>
      <w:r w:rsidRPr="00C03BF2">
        <w:rPr>
          <w:rFonts w:ascii="Palatino Linotype" w:hAnsi="Palatino Linotype"/>
          <w:color w:val="000000"/>
          <w:sz w:val="24"/>
          <w:szCs w:val="24"/>
        </w:rPr>
        <w:t>31</w:t>
      </w:r>
      <w:r w:rsidR="002C5907">
        <w:rPr>
          <w:rFonts w:ascii="Palatino Linotype" w:hAnsi="Palatino Linotype"/>
          <w:color w:val="000000"/>
          <w:sz w:val="24"/>
          <w:szCs w:val="24"/>
        </w:rPr>
        <w:t>8</w:t>
      </w:r>
      <w:r w:rsidRPr="00C03BF2">
        <w:rPr>
          <w:rFonts w:ascii="Palatino Linotype" w:hAnsi="Palatino Linotype"/>
          <w:color w:val="000000"/>
          <w:sz w:val="24"/>
          <w:szCs w:val="24"/>
        </w:rPr>
        <w:t xml:space="preserve">  nella </w:t>
      </w:r>
      <w:r w:rsidR="008975E1" w:rsidRPr="00C03BF2">
        <w:rPr>
          <w:rFonts w:ascii="Palatino Linotype" w:hAnsi="Palatino Linotype"/>
          <w:color w:val="000000"/>
          <w:sz w:val="24"/>
          <w:szCs w:val="24"/>
        </w:rPr>
        <w:t xml:space="preserve">sola </w:t>
      </w:r>
      <w:r w:rsidRPr="00C03BF2">
        <w:rPr>
          <w:rFonts w:ascii="Palatino Linotype" w:hAnsi="Palatino Linotype"/>
          <w:color w:val="000000"/>
          <w:sz w:val="24"/>
          <w:szCs w:val="24"/>
        </w:rPr>
        <w:t xml:space="preserve">provincia di Treviso </w:t>
      </w:r>
      <w:r w:rsidRPr="00630C6C">
        <w:rPr>
          <w:rFonts w:ascii="Palatino Linotype" w:hAnsi="Palatino Linotype"/>
          <w:sz w:val="24"/>
          <w:szCs w:val="24"/>
          <w:highlight w:val="yellow"/>
        </w:rPr>
        <w:t>(</w:t>
      </w:r>
      <w:r w:rsidR="00E6621F" w:rsidRPr="00630C6C">
        <w:rPr>
          <w:rFonts w:ascii="Palatino Linotype" w:hAnsi="Palatino Linotype"/>
          <w:sz w:val="24"/>
          <w:szCs w:val="24"/>
          <w:highlight w:val="yellow"/>
        </w:rPr>
        <w:t>Allegato</w:t>
      </w:r>
      <w:r w:rsidRPr="00630C6C">
        <w:rPr>
          <w:rFonts w:ascii="Palatino Linotype" w:hAnsi="Palatino Linotype"/>
          <w:sz w:val="24"/>
          <w:szCs w:val="24"/>
          <w:highlight w:val="yellow"/>
        </w:rPr>
        <w:t>1</w:t>
      </w:r>
      <w:r w:rsidR="00A753CE" w:rsidRPr="00630C6C">
        <w:rPr>
          <w:rFonts w:ascii="Palatino Linotype" w:hAnsi="Palatino Linotype"/>
          <w:sz w:val="24"/>
          <w:szCs w:val="24"/>
          <w:highlight w:val="yellow"/>
        </w:rPr>
        <w:t>);</w:t>
      </w:r>
    </w:p>
    <w:p w14:paraId="2AB0C001" w14:textId="3C5AA01E" w:rsidR="00287FDB" w:rsidRPr="00630C6C" w:rsidRDefault="00287FDB" w:rsidP="00C03BF2">
      <w:pPr>
        <w:pStyle w:val="Paragrafoelenco"/>
        <w:numPr>
          <w:ilvl w:val="0"/>
          <w:numId w:val="2"/>
        </w:numPr>
        <w:autoSpaceDE w:val="0"/>
        <w:autoSpaceDN w:val="0"/>
        <w:adjustRightInd w:val="0"/>
        <w:ind w:left="709" w:hanging="425"/>
        <w:jc w:val="both"/>
        <w:rPr>
          <w:rFonts w:ascii="Palatino Linotype" w:hAnsi="Palatino Linotype"/>
          <w:sz w:val="24"/>
          <w:szCs w:val="24"/>
        </w:rPr>
      </w:pPr>
      <w:r w:rsidRPr="00630C6C">
        <w:rPr>
          <w:rFonts w:ascii="Palatino Linotype" w:hAnsi="Palatino Linotype"/>
          <w:sz w:val="24"/>
          <w:szCs w:val="24"/>
        </w:rPr>
        <w:t xml:space="preserve">che il fenomeno della dipendenza dal gioco d’azzardo </w:t>
      </w:r>
      <w:r w:rsidR="00A4061B" w:rsidRPr="00630C6C">
        <w:rPr>
          <w:rFonts w:ascii="Palatino Linotype" w:hAnsi="Palatino Linotype"/>
          <w:sz w:val="24"/>
          <w:szCs w:val="24"/>
        </w:rPr>
        <w:t>anche per questo Comune rappresenta un problema sociale</w:t>
      </w:r>
      <w:r w:rsidRPr="00630C6C">
        <w:rPr>
          <w:rFonts w:ascii="Palatino Linotype" w:hAnsi="Palatino Linotype"/>
          <w:sz w:val="24"/>
          <w:szCs w:val="24"/>
        </w:rPr>
        <w:t xml:space="preserve">, come si desume dalla relazione </w:t>
      </w:r>
      <w:r w:rsidR="00F96B82" w:rsidRPr="00630C6C">
        <w:rPr>
          <w:rFonts w:ascii="Palatino Linotype" w:hAnsi="Palatino Linotype"/>
          <w:sz w:val="24"/>
          <w:szCs w:val="24"/>
        </w:rPr>
        <w:t>in data</w:t>
      </w:r>
      <w:proofErr w:type="gramStart"/>
      <w:r w:rsidRPr="00630C6C">
        <w:rPr>
          <w:rFonts w:ascii="Palatino Linotype" w:hAnsi="Palatino Linotype"/>
          <w:sz w:val="24"/>
          <w:szCs w:val="24"/>
        </w:rPr>
        <w:t xml:space="preserve"> </w:t>
      </w:r>
      <w:r w:rsidR="00842084" w:rsidRPr="00630C6C">
        <w:rPr>
          <w:rFonts w:ascii="Palatino Linotype" w:hAnsi="Palatino Linotype"/>
          <w:sz w:val="24"/>
          <w:szCs w:val="24"/>
        </w:rPr>
        <w:t>….</w:t>
      </w:r>
      <w:proofErr w:type="gramEnd"/>
      <w:r w:rsidR="00842084" w:rsidRPr="00630C6C">
        <w:rPr>
          <w:rFonts w:ascii="Palatino Linotype" w:hAnsi="Palatino Linotype"/>
          <w:sz w:val="24"/>
          <w:szCs w:val="24"/>
        </w:rPr>
        <w:t>/…../</w:t>
      </w:r>
      <w:r w:rsidR="00F96B82" w:rsidRPr="00630C6C">
        <w:rPr>
          <w:rFonts w:ascii="Palatino Linotype" w:hAnsi="Palatino Linotype"/>
          <w:sz w:val="24"/>
          <w:szCs w:val="24"/>
        </w:rPr>
        <w:t>……</w:t>
      </w:r>
      <w:r w:rsidRPr="00630C6C">
        <w:rPr>
          <w:rFonts w:ascii="Palatino Linotype" w:hAnsi="Palatino Linotype"/>
          <w:sz w:val="24"/>
          <w:szCs w:val="24"/>
        </w:rPr>
        <w:t xml:space="preserve"> del Dipartimento per le dipendenze dell’A</w:t>
      </w:r>
      <w:r w:rsidR="00E6621F" w:rsidRPr="00630C6C">
        <w:rPr>
          <w:rFonts w:ascii="Palatino Linotype" w:hAnsi="Palatino Linotype"/>
          <w:sz w:val="24"/>
          <w:szCs w:val="24"/>
        </w:rPr>
        <w:t>zienda U</w:t>
      </w:r>
      <w:r w:rsidR="00913922" w:rsidRPr="00630C6C">
        <w:rPr>
          <w:rFonts w:ascii="Palatino Linotype" w:hAnsi="Palatino Linotype"/>
          <w:sz w:val="24"/>
          <w:szCs w:val="24"/>
        </w:rPr>
        <w:t xml:space="preserve">LSS </w:t>
      </w:r>
      <w:r w:rsidR="00E6621F" w:rsidRPr="00630C6C">
        <w:rPr>
          <w:rFonts w:ascii="Palatino Linotype" w:hAnsi="Palatino Linotype"/>
          <w:sz w:val="24"/>
          <w:szCs w:val="24"/>
        </w:rPr>
        <w:t xml:space="preserve">2 Marca </w:t>
      </w:r>
      <w:r w:rsidR="00E6621F" w:rsidRPr="00630C6C">
        <w:rPr>
          <w:rFonts w:ascii="Palatino Linotype" w:hAnsi="Palatino Linotype"/>
          <w:sz w:val="24"/>
          <w:szCs w:val="24"/>
          <w:highlight w:val="yellow"/>
        </w:rPr>
        <w:t>Trevigiana (A</w:t>
      </w:r>
      <w:r w:rsidRPr="00630C6C">
        <w:rPr>
          <w:rFonts w:ascii="Palatino Linotype" w:hAnsi="Palatino Linotype"/>
          <w:sz w:val="24"/>
          <w:szCs w:val="24"/>
          <w:highlight w:val="yellow"/>
        </w:rPr>
        <w:t>llegato 2</w:t>
      </w:r>
      <w:r w:rsidR="00E74C7C" w:rsidRPr="00630C6C">
        <w:rPr>
          <w:rFonts w:ascii="Palatino Linotype" w:hAnsi="Palatino Linotype"/>
          <w:sz w:val="24"/>
          <w:szCs w:val="24"/>
          <w:highlight w:val="yellow"/>
        </w:rPr>
        <w:t>)</w:t>
      </w:r>
      <w:r w:rsidR="00BD729A" w:rsidRPr="00630C6C">
        <w:rPr>
          <w:rFonts w:ascii="Palatino Linotype" w:hAnsi="Palatino Linotype"/>
          <w:sz w:val="24"/>
          <w:szCs w:val="24"/>
          <w:highlight w:val="yellow"/>
        </w:rPr>
        <w:t>;</w:t>
      </w:r>
      <w:r w:rsidR="00842084" w:rsidRPr="00630C6C">
        <w:rPr>
          <w:rFonts w:ascii="Palatino Linotype" w:hAnsi="Palatino Linotype"/>
          <w:sz w:val="24"/>
          <w:szCs w:val="24"/>
          <w:highlight w:val="yellow"/>
        </w:rPr>
        <w:t xml:space="preserve"> </w:t>
      </w:r>
      <w:r w:rsidR="00BD729A" w:rsidRPr="00630C6C">
        <w:rPr>
          <w:rFonts w:ascii="Palatino Linotype" w:hAnsi="Palatino Linotype"/>
          <w:sz w:val="24"/>
          <w:szCs w:val="24"/>
          <w:highlight w:val="yellow"/>
        </w:rPr>
        <w:t>(</w:t>
      </w:r>
      <w:r w:rsidR="00842084" w:rsidRPr="00630C6C">
        <w:rPr>
          <w:rFonts w:ascii="Palatino Linotype" w:hAnsi="Palatino Linotype"/>
          <w:sz w:val="24"/>
          <w:szCs w:val="24"/>
          <w:highlight w:val="yellow"/>
        </w:rPr>
        <w:t xml:space="preserve">ogni comune </w:t>
      </w:r>
      <w:r w:rsidR="004C5AB9" w:rsidRPr="00630C6C">
        <w:rPr>
          <w:rFonts w:ascii="Palatino Linotype" w:hAnsi="Palatino Linotype"/>
          <w:sz w:val="24"/>
          <w:szCs w:val="24"/>
          <w:highlight w:val="yellow"/>
        </w:rPr>
        <w:t xml:space="preserve">lo </w:t>
      </w:r>
      <w:r w:rsidR="0082204D" w:rsidRPr="00630C6C">
        <w:rPr>
          <w:rFonts w:ascii="Palatino Linotype" w:hAnsi="Palatino Linotype"/>
          <w:sz w:val="24"/>
          <w:szCs w:val="24"/>
          <w:highlight w:val="yellow"/>
        </w:rPr>
        <w:t>deve richiedere</w:t>
      </w:r>
      <w:r w:rsidR="00842084" w:rsidRPr="00630C6C">
        <w:rPr>
          <w:rFonts w:ascii="Palatino Linotype" w:hAnsi="Palatino Linotype"/>
          <w:sz w:val="24"/>
          <w:szCs w:val="24"/>
          <w:highlight w:val="yellow"/>
        </w:rPr>
        <w:t xml:space="preserve"> all’Azienda ULSS 2</w:t>
      </w:r>
      <w:r w:rsidRPr="00630C6C">
        <w:rPr>
          <w:rFonts w:ascii="Palatino Linotype" w:hAnsi="Palatino Linotype"/>
          <w:sz w:val="24"/>
          <w:szCs w:val="24"/>
          <w:highlight w:val="yellow"/>
        </w:rPr>
        <w:t>)</w:t>
      </w:r>
    </w:p>
    <w:p w14:paraId="5B618926" w14:textId="77777777" w:rsidR="00A753CE" w:rsidRPr="00C03BF2" w:rsidRDefault="00A753CE" w:rsidP="002B7FAB">
      <w:pPr>
        <w:autoSpaceDE w:val="0"/>
        <w:autoSpaceDN w:val="0"/>
        <w:adjustRightInd w:val="0"/>
        <w:ind w:left="28" w:firstLine="0"/>
        <w:jc w:val="both"/>
        <w:rPr>
          <w:rFonts w:ascii="Palatino Linotype" w:hAnsi="Palatino Linotype"/>
          <w:b/>
          <w:color w:val="000000"/>
          <w:sz w:val="24"/>
          <w:szCs w:val="24"/>
        </w:rPr>
      </w:pPr>
    </w:p>
    <w:p w14:paraId="47D761BA" w14:textId="446C43FE" w:rsidR="001301F3" w:rsidRPr="00C03BF2" w:rsidRDefault="001301F3" w:rsidP="002B7FAB">
      <w:pPr>
        <w:autoSpaceDE w:val="0"/>
        <w:autoSpaceDN w:val="0"/>
        <w:adjustRightInd w:val="0"/>
        <w:ind w:left="28" w:firstLine="0"/>
        <w:jc w:val="both"/>
        <w:rPr>
          <w:rFonts w:ascii="Palatino Linotype" w:hAnsi="Palatino Linotype"/>
          <w:color w:val="000000"/>
          <w:sz w:val="24"/>
          <w:szCs w:val="24"/>
        </w:rPr>
      </w:pPr>
      <w:r w:rsidRPr="00C03BF2">
        <w:rPr>
          <w:rFonts w:ascii="Palatino Linotype" w:hAnsi="Palatino Linotype"/>
          <w:b/>
          <w:color w:val="000000"/>
          <w:sz w:val="24"/>
          <w:szCs w:val="24"/>
        </w:rPr>
        <w:t>CONSIDERATO</w:t>
      </w:r>
      <w:r w:rsidR="00A753CE" w:rsidRPr="00C03BF2">
        <w:rPr>
          <w:rFonts w:ascii="Palatino Linotype" w:hAnsi="Palatino Linotype"/>
          <w:b/>
          <w:color w:val="000000"/>
          <w:sz w:val="24"/>
          <w:szCs w:val="24"/>
        </w:rPr>
        <w:t xml:space="preserve"> </w:t>
      </w:r>
    </w:p>
    <w:p w14:paraId="2CCCFE21" w14:textId="16745010" w:rsidR="001301F3" w:rsidRPr="00C03BF2" w:rsidRDefault="001301F3" w:rsidP="002B7FAB">
      <w:pPr>
        <w:autoSpaceDE w:val="0"/>
        <w:autoSpaceDN w:val="0"/>
        <w:adjustRightInd w:val="0"/>
        <w:ind w:left="28" w:firstLine="0"/>
        <w:jc w:val="both"/>
        <w:rPr>
          <w:rFonts w:ascii="Palatino Linotype" w:hAnsi="Palatino Linotype"/>
          <w:sz w:val="24"/>
          <w:szCs w:val="24"/>
        </w:rPr>
      </w:pPr>
      <w:r w:rsidRPr="00C03BF2">
        <w:rPr>
          <w:rFonts w:ascii="Palatino Linotype" w:hAnsi="Palatino Linotype"/>
          <w:color w:val="000000"/>
          <w:sz w:val="24"/>
          <w:szCs w:val="24"/>
        </w:rPr>
        <w:t xml:space="preserve">che la legittimazione a </w:t>
      </w:r>
      <w:r w:rsidRPr="00C03BF2">
        <w:rPr>
          <w:rFonts w:ascii="Palatino Linotype" w:hAnsi="Palatino Linotype"/>
          <w:sz w:val="24"/>
          <w:szCs w:val="24"/>
        </w:rPr>
        <w:t xml:space="preserve">disciplinare il gioco d’azzardo da parte </w:t>
      </w:r>
      <w:r w:rsidR="00C6784E" w:rsidRPr="00C03BF2">
        <w:rPr>
          <w:rFonts w:ascii="Palatino Linotype" w:hAnsi="Palatino Linotype"/>
          <w:sz w:val="24"/>
          <w:szCs w:val="24"/>
        </w:rPr>
        <w:t xml:space="preserve">dei Comuni </w:t>
      </w:r>
      <w:r w:rsidR="002F2857" w:rsidRPr="00C03BF2">
        <w:rPr>
          <w:rFonts w:ascii="Palatino Linotype" w:hAnsi="Palatino Linotype"/>
          <w:sz w:val="24"/>
          <w:szCs w:val="24"/>
        </w:rPr>
        <w:t xml:space="preserve">trova fondamento </w:t>
      </w:r>
      <w:r w:rsidR="008E6AD3" w:rsidRPr="00C03BF2">
        <w:rPr>
          <w:rFonts w:ascii="Palatino Linotype" w:hAnsi="Palatino Linotype"/>
          <w:sz w:val="24"/>
          <w:szCs w:val="24"/>
        </w:rPr>
        <w:t>sia sotto l’</w:t>
      </w:r>
      <w:r w:rsidR="00E45409" w:rsidRPr="00C03BF2">
        <w:rPr>
          <w:rFonts w:ascii="Palatino Linotype" w:hAnsi="Palatino Linotype"/>
          <w:sz w:val="24"/>
          <w:szCs w:val="24"/>
        </w:rPr>
        <w:t xml:space="preserve">aspetto </w:t>
      </w:r>
      <w:r w:rsidRPr="00C03BF2">
        <w:rPr>
          <w:rFonts w:ascii="Palatino Linotype" w:hAnsi="Palatino Linotype"/>
          <w:sz w:val="24"/>
          <w:szCs w:val="24"/>
        </w:rPr>
        <w:t>del</w:t>
      </w:r>
      <w:r w:rsidR="002F2857" w:rsidRPr="00C03BF2">
        <w:rPr>
          <w:rFonts w:ascii="Palatino Linotype" w:hAnsi="Palatino Linotype"/>
          <w:sz w:val="24"/>
          <w:szCs w:val="24"/>
        </w:rPr>
        <w:t>la potestà</w:t>
      </w:r>
      <w:r w:rsidRPr="00C03BF2">
        <w:rPr>
          <w:rFonts w:ascii="Palatino Linotype" w:hAnsi="Palatino Linotype"/>
          <w:sz w:val="24"/>
          <w:szCs w:val="24"/>
        </w:rPr>
        <w:t xml:space="preserve"> </w:t>
      </w:r>
      <w:r w:rsidR="00690682" w:rsidRPr="00C03BF2">
        <w:rPr>
          <w:rFonts w:ascii="Palatino Linotype" w:hAnsi="Palatino Linotype"/>
          <w:sz w:val="24"/>
          <w:szCs w:val="24"/>
        </w:rPr>
        <w:t xml:space="preserve">di individuare i </w:t>
      </w:r>
      <w:r w:rsidRPr="00C03BF2">
        <w:rPr>
          <w:rFonts w:ascii="Palatino Linotype" w:hAnsi="Palatino Linotype"/>
          <w:sz w:val="24"/>
          <w:szCs w:val="24"/>
        </w:rPr>
        <w:t>criteri di dislocazione territorial</w:t>
      </w:r>
      <w:r w:rsidR="002F2857" w:rsidRPr="00C03BF2">
        <w:rPr>
          <w:rFonts w:ascii="Palatino Linotype" w:hAnsi="Palatino Linotype"/>
          <w:sz w:val="24"/>
          <w:szCs w:val="24"/>
        </w:rPr>
        <w:t xml:space="preserve">e, </w:t>
      </w:r>
      <w:r w:rsidR="00342430" w:rsidRPr="00C03BF2">
        <w:rPr>
          <w:rFonts w:ascii="Palatino Linotype" w:hAnsi="Palatino Linotype"/>
          <w:sz w:val="24"/>
          <w:szCs w:val="24"/>
        </w:rPr>
        <w:t xml:space="preserve">compresa </w:t>
      </w:r>
      <w:r w:rsidRPr="00C03BF2">
        <w:rPr>
          <w:rFonts w:ascii="Palatino Linotype" w:hAnsi="Palatino Linotype"/>
          <w:sz w:val="24"/>
          <w:szCs w:val="24"/>
        </w:rPr>
        <w:t>l’imposizione di distanze minime da</w:t>
      </w:r>
      <w:r w:rsidR="00831EAF" w:rsidRPr="00C03BF2">
        <w:rPr>
          <w:rFonts w:ascii="Palatino Linotype" w:hAnsi="Palatino Linotype"/>
          <w:sz w:val="24"/>
          <w:szCs w:val="24"/>
        </w:rPr>
        <w:t>i</w:t>
      </w:r>
      <w:r w:rsidRPr="00C03BF2">
        <w:rPr>
          <w:rFonts w:ascii="Palatino Linotype" w:hAnsi="Palatino Linotype"/>
          <w:sz w:val="24"/>
          <w:szCs w:val="24"/>
        </w:rPr>
        <w:t xml:space="preserve"> luoghi sensibili </w:t>
      </w:r>
      <w:r w:rsidR="00831EAF" w:rsidRPr="00C03BF2">
        <w:rPr>
          <w:rFonts w:ascii="Palatino Linotype" w:hAnsi="Palatino Linotype"/>
          <w:sz w:val="24"/>
          <w:szCs w:val="24"/>
        </w:rPr>
        <w:t xml:space="preserve">e da quelli ove si commercializza </w:t>
      </w:r>
      <w:r w:rsidR="00831EAF" w:rsidRPr="00C03BF2">
        <w:rPr>
          <w:rFonts w:ascii="Palatino Linotype" w:hAnsi="Palatino Linotype"/>
          <w:sz w:val="24"/>
          <w:szCs w:val="24"/>
        </w:rPr>
        <w:lastRenderedPageBreak/>
        <w:t>denaro</w:t>
      </w:r>
      <w:r w:rsidR="00C71339" w:rsidRPr="00C03BF2">
        <w:rPr>
          <w:rFonts w:ascii="Palatino Linotype" w:hAnsi="Palatino Linotype"/>
          <w:sz w:val="24"/>
          <w:szCs w:val="24"/>
        </w:rPr>
        <w:t xml:space="preserve">, </w:t>
      </w:r>
      <w:r w:rsidR="002C7D32" w:rsidRPr="00C03BF2">
        <w:rPr>
          <w:rFonts w:ascii="Palatino Linotype" w:hAnsi="Palatino Linotype"/>
          <w:sz w:val="24"/>
          <w:szCs w:val="24"/>
        </w:rPr>
        <w:t>sia sotto quello</w:t>
      </w:r>
      <w:r w:rsidRPr="00C03BF2">
        <w:rPr>
          <w:rFonts w:ascii="Palatino Linotype" w:hAnsi="Palatino Linotype"/>
          <w:sz w:val="24"/>
          <w:szCs w:val="24"/>
        </w:rPr>
        <w:t xml:space="preserve"> di disciplinare</w:t>
      </w:r>
      <w:r w:rsidR="00E45409" w:rsidRPr="00C03BF2">
        <w:rPr>
          <w:rFonts w:ascii="Palatino Linotype" w:hAnsi="Palatino Linotype"/>
          <w:sz w:val="24"/>
          <w:szCs w:val="24"/>
        </w:rPr>
        <w:t xml:space="preserve"> gli orari delle sale gioco</w:t>
      </w:r>
      <w:r w:rsidR="002C7D32" w:rsidRPr="00C03BF2">
        <w:rPr>
          <w:rFonts w:ascii="Palatino Linotype" w:hAnsi="Palatino Linotype"/>
          <w:sz w:val="24"/>
          <w:szCs w:val="24"/>
        </w:rPr>
        <w:t>,</w:t>
      </w:r>
      <w:r w:rsidR="001E6380" w:rsidRPr="00C03BF2">
        <w:rPr>
          <w:rFonts w:ascii="Palatino Linotype" w:hAnsi="Palatino Linotype"/>
          <w:sz w:val="24"/>
          <w:szCs w:val="24"/>
        </w:rPr>
        <w:t xml:space="preserve"> </w:t>
      </w:r>
      <w:r w:rsidR="0095219C" w:rsidRPr="00C03BF2">
        <w:rPr>
          <w:rFonts w:ascii="Palatino Linotype" w:hAnsi="Palatino Linotype"/>
          <w:sz w:val="24"/>
          <w:szCs w:val="24"/>
        </w:rPr>
        <w:t>su</w:t>
      </w:r>
      <w:r w:rsidR="003A5F0C" w:rsidRPr="00C03BF2">
        <w:rPr>
          <w:rFonts w:ascii="Palatino Linotype" w:hAnsi="Palatino Linotype"/>
          <w:sz w:val="24"/>
          <w:szCs w:val="24"/>
        </w:rPr>
        <w:t xml:space="preserve"> </w:t>
      </w:r>
      <w:r w:rsidR="00D256F7" w:rsidRPr="00C03BF2">
        <w:rPr>
          <w:rFonts w:ascii="Palatino Linotype" w:hAnsi="Palatino Linotype"/>
          <w:sz w:val="24"/>
          <w:szCs w:val="24"/>
        </w:rPr>
        <w:t xml:space="preserve">precise </w:t>
      </w:r>
      <w:proofErr w:type="gramStart"/>
      <w:r w:rsidRPr="00C03BF2">
        <w:rPr>
          <w:rFonts w:ascii="Palatino Linotype" w:hAnsi="Palatino Linotype"/>
          <w:sz w:val="24"/>
          <w:szCs w:val="24"/>
        </w:rPr>
        <w:t xml:space="preserve">disposizioni </w:t>
      </w:r>
      <w:r w:rsidR="00E45409" w:rsidRPr="00C03BF2">
        <w:rPr>
          <w:rFonts w:ascii="Palatino Linotype" w:hAnsi="Palatino Linotype"/>
          <w:sz w:val="24"/>
          <w:szCs w:val="24"/>
        </w:rPr>
        <w:t xml:space="preserve"> </w:t>
      </w:r>
      <w:r w:rsidR="00D256F7" w:rsidRPr="00C03BF2">
        <w:rPr>
          <w:rFonts w:ascii="Palatino Linotype" w:hAnsi="Palatino Linotype"/>
          <w:sz w:val="24"/>
          <w:szCs w:val="24"/>
        </w:rPr>
        <w:t>normative</w:t>
      </w:r>
      <w:proofErr w:type="gramEnd"/>
      <w:r w:rsidR="00C03BF2">
        <w:rPr>
          <w:rFonts w:ascii="Palatino Linotype" w:hAnsi="Palatino Linotype"/>
          <w:sz w:val="24"/>
          <w:szCs w:val="24"/>
        </w:rPr>
        <w:t xml:space="preserve"> </w:t>
      </w:r>
      <w:r w:rsidR="00D70712" w:rsidRPr="00C03BF2">
        <w:rPr>
          <w:rFonts w:ascii="Palatino Linotype" w:hAnsi="Palatino Linotype"/>
          <w:sz w:val="24"/>
          <w:szCs w:val="24"/>
        </w:rPr>
        <w:t>e supportata</w:t>
      </w:r>
      <w:r w:rsidR="00780BFA" w:rsidRPr="00C03BF2">
        <w:rPr>
          <w:rFonts w:ascii="Palatino Linotype" w:hAnsi="Palatino Linotype"/>
          <w:sz w:val="24"/>
          <w:szCs w:val="24"/>
        </w:rPr>
        <w:t xml:space="preserve"> da</w:t>
      </w:r>
      <w:r w:rsidR="000A71F8" w:rsidRPr="00C03BF2">
        <w:rPr>
          <w:rFonts w:ascii="Palatino Linotype" w:hAnsi="Palatino Linotype"/>
          <w:sz w:val="24"/>
          <w:szCs w:val="24"/>
        </w:rPr>
        <w:t>lla</w:t>
      </w:r>
      <w:r w:rsidR="00780BFA" w:rsidRPr="00C03BF2">
        <w:rPr>
          <w:rFonts w:ascii="Palatino Linotype" w:hAnsi="Palatino Linotype"/>
          <w:sz w:val="24"/>
          <w:szCs w:val="24"/>
        </w:rPr>
        <w:t xml:space="preserve"> </w:t>
      </w:r>
      <w:r w:rsidR="00596DE9" w:rsidRPr="00C03BF2">
        <w:rPr>
          <w:rFonts w:ascii="Palatino Linotype" w:hAnsi="Palatino Linotype"/>
          <w:sz w:val="24"/>
          <w:szCs w:val="24"/>
        </w:rPr>
        <w:t>giurisprudenza;</w:t>
      </w:r>
    </w:p>
    <w:p w14:paraId="6C42A3B7" w14:textId="77777777" w:rsidR="00AE63A4" w:rsidRPr="00C03BF2" w:rsidRDefault="00AE63A4" w:rsidP="002B7FAB">
      <w:pPr>
        <w:autoSpaceDE w:val="0"/>
        <w:autoSpaceDN w:val="0"/>
        <w:adjustRightInd w:val="0"/>
        <w:ind w:left="28" w:firstLine="0"/>
        <w:jc w:val="both"/>
        <w:rPr>
          <w:rFonts w:ascii="Palatino Linotype" w:hAnsi="Palatino Linotype"/>
          <w:sz w:val="24"/>
          <w:szCs w:val="24"/>
        </w:rPr>
      </w:pPr>
    </w:p>
    <w:p w14:paraId="05DBA913" w14:textId="5E8D0469" w:rsidR="00AE63A4" w:rsidRPr="00C03BF2" w:rsidRDefault="00C156DB" w:rsidP="00C03BF2">
      <w:pPr>
        <w:autoSpaceDE w:val="0"/>
        <w:autoSpaceDN w:val="0"/>
        <w:adjustRightInd w:val="0"/>
        <w:ind w:left="28" w:firstLine="0"/>
        <w:jc w:val="both"/>
        <w:rPr>
          <w:rFonts w:ascii="Palatino Linotype" w:hAnsi="Palatino Linotype"/>
          <w:b/>
          <w:color w:val="000000"/>
          <w:sz w:val="24"/>
          <w:szCs w:val="24"/>
        </w:rPr>
      </w:pPr>
      <w:r w:rsidRPr="00C03BF2">
        <w:rPr>
          <w:rFonts w:ascii="Palatino Linotype" w:hAnsi="Palatino Linotype"/>
          <w:b/>
          <w:color w:val="000000"/>
          <w:sz w:val="24"/>
          <w:szCs w:val="24"/>
        </w:rPr>
        <w:t>ATTESE</w:t>
      </w:r>
      <w:r w:rsidR="00AE63A4" w:rsidRPr="00C03BF2">
        <w:rPr>
          <w:rFonts w:ascii="Palatino Linotype" w:hAnsi="Palatino Linotype"/>
          <w:b/>
          <w:color w:val="000000"/>
          <w:sz w:val="24"/>
          <w:szCs w:val="24"/>
        </w:rPr>
        <w:t xml:space="preserve"> </w:t>
      </w:r>
    </w:p>
    <w:p w14:paraId="4F3DFE7F" w14:textId="6B3F2C4C" w:rsidR="00E45409" w:rsidRPr="00E246B6" w:rsidRDefault="00A67B1A" w:rsidP="002B7FAB">
      <w:pPr>
        <w:ind w:left="0" w:firstLine="0"/>
        <w:jc w:val="both"/>
        <w:rPr>
          <w:rFonts w:ascii="Palatino Linotype" w:hAnsi="Palatino Linotype"/>
          <w:b/>
          <w:bCs/>
          <w:sz w:val="24"/>
          <w:szCs w:val="24"/>
        </w:rPr>
      </w:pPr>
      <w:r w:rsidRPr="00E246B6">
        <w:rPr>
          <w:rFonts w:ascii="Palatino Linotype" w:hAnsi="Palatino Linotype"/>
          <w:b/>
          <w:bCs/>
          <w:sz w:val="24"/>
          <w:szCs w:val="24"/>
        </w:rPr>
        <w:t>in merito ai</w:t>
      </w:r>
      <w:r w:rsidR="00711913" w:rsidRPr="00E246B6">
        <w:rPr>
          <w:rFonts w:ascii="Palatino Linotype" w:hAnsi="Palatino Linotype"/>
          <w:b/>
          <w:bCs/>
          <w:sz w:val="24"/>
          <w:szCs w:val="24"/>
        </w:rPr>
        <w:t xml:space="preserve"> </w:t>
      </w:r>
      <w:r w:rsidR="009327A9" w:rsidRPr="00E246B6">
        <w:rPr>
          <w:rFonts w:ascii="Palatino Linotype" w:hAnsi="Palatino Linotype"/>
          <w:b/>
          <w:bCs/>
          <w:sz w:val="24"/>
          <w:szCs w:val="24"/>
        </w:rPr>
        <w:t>criteri di dislocazione territoriale e distanze minime</w:t>
      </w:r>
      <w:r w:rsidR="00840B16" w:rsidRPr="00E246B6">
        <w:rPr>
          <w:rFonts w:ascii="Palatino Linotype" w:hAnsi="Palatino Linotype"/>
          <w:b/>
          <w:bCs/>
          <w:sz w:val="24"/>
          <w:szCs w:val="24"/>
        </w:rPr>
        <w:t xml:space="preserve"> dai luoghi sensibili</w:t>
      </w:r>
      <w:r w:rsidR="003A5F0C" w:rsidRPr="00E246B6">
        <w:rPr>
          <w:rFonts w:ascii="Palatino Linotype" w:hAnsi="Palatino Linotype"/>
          <w:b/>
          <w:bCs/>
          <w:sz w:val="24"/>
          <w:szCs w:val="24"/>
        </w:rPr>
        <w:t xml:space="preserve"> </w:t>
      </w:r>
      <w:r w:rsidR="00C156DB" w:rsidRPr="00E246B6">
        <w:rPr>
          <w:rFonts w:ascii="Palatino Linotype" w:hAnsi="Palatino Linotype"/>
          <w:b/>
          <w:bCs/>
          <w:sz w:val="24"/>
          <w:szCs w:val="24"/>
        </w:rPr>
        <w:t>le</w:t>
      </w:r>
      <w:r w:rsidR="001301F3" w:rsidRPr="00E246B6">
        <w:rPr>
          <w:rFonts w:ascii="Palatino Linotype" w:hAnsi="Palatino Linotype"/>
          <w:b/>
          <w:bCs/>
          <w:sz w:val="24"/>
          <w:szCs w:val="24"/>
        </w:rPr>
        <w:t xml:space="preserve"> </w:t>
      </w:r>
      <w:r w:rsidR="00A30148" w:rsidRPr="00E246B6">
        <w:rPr>
          <w:rFonts w:ascii="Palatino Linotype" w:hAnsi="Palatino Linotype"/>
          <w:b/>
          <w:bCs/>
          <w:sz w:val="24"/>
          <w:szCs w:val="24"/>
        </w:rPr>
        <w:t>seguenti norme e sentenze</w:t>
      </w:r>
      <w:r w:rsidR="003318E2" w:rsidRPr="00E246B6">
        <w:rPr>
          <w:rFonts w:ascii="Palatino Linotype" w:hAnsi="Palatino Linotype"/>
          <w:b/>
          <w:bCs/>
          <w:sz w:val="24"/>
          <w:szCs w:val="24"/>
        </w:rPr>
        <w:t xml:space="preserve">: </w:t>
      </w:r>
    </w:p>
    <w:p w14:paraId="71934F06" w14:textId="77777777" w:rsidR="00F96B82" w:rsidRPr="00C03BF2" w:rsidRDefault="00F96B82" w:rsidP="002B7FAB">
      <w:pPr>
        <w:ind w:left="0" w:firstLine="0"/>
        <w:jc w:val="both"/>
        <w:rPr>
          <w:rFonts w:ascii="Palatino Linotype" w:hAnsi="Palatino Linotype"/>
          <w:sz w:val="6"/>
          <w:szCs w:val="6"/>
        </w:rPr>
      </w:pPr>
    </w:p>
    <w:p w14:paraId="6D13E936" w14:textId="5DB56D2A" w:rsidR="00466617" w:rsidRPr="00C03BF2" w:rsidRDefault="00466617" w:rsidP="00C03BF2">
      <w:pPr>
        <w:pStyle w:val="Paragrafoelenco"/>
        <w:numPr>
          <w:ilvl w:val="0"/>
          <w:numId w:val="11"/>
        </w:numPr>
        <w:ind w:left="284" w:hanging="284"/>
        <w:jc w:val="both"/>
        <w:rPr>
          <w:rFonts w:ascii="Palatino Linotype" w:hAnsi="Palatino Linotype"/>
          <w:i/>
          <w:iCs/>
          <w:color w:val="000000"/>
          <w:sz w:val="24"/>
          <w:szCs w:val="24"/>
        </w:rPr>
      </w:pPr>
      <w:r w:rsidRPr="00C03BF2">
        <w:rPr>
          <w:rFonts w:ascii="Palatino Linotype" w:hAnsi="Palatino Linotype"/>
          <w:sz w:val="24"/>
          <w:szCs w:val="24"/>
        </w:rPr>
        <w:t>art. 6</w:t>
      </w:r>
      <w:r w:rsidR="00D3507B" w:rsidRPr="00C03BF2">
        <w:rPr>
          <w:rFonts w:ascii="Palatino Linotype" w:hAnsi="Palatino Linotype"/>
          <w:sz w:val="24"/>
          <w:szCs w:val="24"/>
        </w:rPr>
        <w:t xml:space="preserve"> della </w:t>
      </w:r>
      <w:proofErr w:type="gramStart"/>
      <w:r w:rsidR="00D3507B" w:rsidRPr="00C03BF2">
        <w:rPr>
          <w:rFonts w:ascii="Palatino Linotype" w:hAnsi="Palatino Linotype"/>
          <w:sz w:val="24"/>
          <w:szCs w:val="24"/>
        </w:rPr>
        <w:t>L.R..</w:t>
      </w:r>
      <w:proofErr w:type="gramEnd"/>
      <w:r w:rsidR="00D3507B" w:rsidRPr="00C03BF2">
        <w:rPr>
          <w:rFonts w:ascii="Palatino Linotype" w:hAnsi="Palatino Linotype"/>
          <w:sz w:val="24"/>
          <w:szCs w:val="24"/>
        </w:rPr>
        <w:t xml:space="preserve"> 10 settembre 2019 n. 38</w:t>
      </w:r>
      <w:r w:rsidR="00E81CFE" w:rsidRPr="00C03BF2">
        <w:rPr>
          <w:rFonts w:ascii="Palatino Linotype" w:hAnsi="Palatino Linotype"/>
          <w:i/>
          <w:sz w:val="24"/>
          <w:szCs w:val="24"/>
        </w:rPr>
        <w:t xml:space="preserve"> che </w:t>
      </w:r>
      <w:r w:rsidR="001301F3" w:rsidRPr="00C03BF2">
        <w:rPr>
          <w:rFonts w:ascii="Palatino Linotype" w:hAnsi="Palatino Linotype"/>
          <w:i/>
          <w:sz w:val="24"/>
          <w:szCs w:val="24"/>
        </w:rPr>
        <w:t>recita “</w:t>
      </w:r>
      <w:r w:rsidR="001301F3" w:rsidRPr="00C03BF2">
        <w:rPr>
          <w:rFonts w:ascii="Palatino Linotype" w:hAnsi="Palatino Linotype"/>
          <w:i/>
          <w:iCs/>
          <w:sz w:val="24"/>
          <w:szCs w:val="24"/>
        </w:rPr>
        <w:t>I Comuni, in conformità al principio di sussidiarietà di cui all'art. 118 della Costituzione, sono competenti in via generale all'attuazione della presente legge</w:t>
      </w:r>
      <w:r w:rsidR="001301F3" w:rsidRPr="00C03BF2">
        <w:rPr>
          <w:rFonts w:ascii="Palatino Linotype" w:hAnsi="Palatino Linotype"/>
          <w:i/>
          <w:iCs/>
          <w:color w:val="000000"/>
          <w:sz w:val="24"/>
          <w:szCs w:val="24"/>
        </w:rPr>
        <w:t>, ed in particolare:</w:t>
      </w:r>
    </w:p>
    <w:p w14:paraId="32EF3D34" w14:textId="288D76D7" w:rsidR="00D3628F" w:rsidRPr="00C03BF2" w:rsidRDefault="001301F3" w:rsidP="00C03BF2">
      <w:pPr>
        <w:pStyle w:val="Paragrafoelenco"/>
        <w:numPr>
          <w:ilvl w:val="0"/>
          <w:numId w:val="12"/>
        </w:numPr>
        <w:jc w:val="both"/>
        <w:rPr>
          <w:rFonts w:ascii="Palatino Linotype" w:hAnsi="Palatino Linotype"/>
          <w:i/>
          <w:iCs/>
          <w:color w:val="000000"/>
          <w:sz w:val="24"/>
          <w:szCs w:val="24"/>
        </w:rPr>
      </w:pPr>
      <w:r w:rsidRPr="00C03BF2">
        <w:rPr>
          <w:rFonts w:ascii="Palatino Linotype" w:hAnsi="Palatino Linotype"/>
          <w:i/>
          <w:iCs/>
          <w:color w:val="000000"/>
          <w:sz w:val="24"/>
          <w:szCs w:val="24"/>
        </w:rPr>
        <w:t>possono individuare</w:t>
      </w:r>
      <w:r w:rsidR="00466617" w:rsidRPr="00C03BF2">
        <w:rPr>
          <w:rFonts w:ascii="Palatino Linotype" w:hAnsi="Palatino Linotype"/>
          <w:i/>
          <w:iCs/>
          <w:color w:val="000000"/>
          <w:sz w:val="24"/>
          <w:szCs w:val="24"/>
        </w:rPr>
        <w:t>,</w:t>
      </w:r>
      <w:r w:rsidRPr="00C03BF2">
        <w:rPr>
          <w:rFonts w:ascii="Palatino Linotype" w:hAnsi="Palatino Linotype"/>
          <w:i/>
          <w:iCs/>
          <w:color w:val="000000"/>
          <w:sz w:val="24"/>
          <w:szCs w:val="24"/>
        </w:rPr>
        <w:t xml:space="preserve"> definendo specifici criteri di riordino e sviluppo della dislocazione territoriale della rete di raccolta del gioco e tenendo conto dell'impatto sul contesto, sulla sicurezza e sul decoro urbano, nonché dei problemi connessi alla viabilità, all'inquinamento acustico e alla quiete pubblica</w:t>
      </w:r>
      <w:r w:rsidR="00466617" w:rsidRPr="00C03BF2">
        <w:rPr>
          <w:rFonts w:ascii="Palatino Linotype" w:hAnsi="Palatino Linotype"/>
          <w:i/>
          <w:iCs/>
          <w:color w:val="000000"/>
          <w:sz w:val="24"/>
          <w:szCs w:val="24"/>
        </w:rPr>
        <w:t>, nel rispetto di quanto previsto dall’art. 7,</w:t>
      </w:r>
      <w:r w:rsidR="00DB55A4" w:rsidRPr="00C03BF2">
        <w:rPr>
          <w:rFonts w:ascii="Palatino Linotype" w:hAnsi="Palatino Linotype"/>
          <w:i/>
          <w:iCs/>
          <w:color w:val="000000"/>
          <w:sz w:val="24"/>
          <w:szCs w:val="24"/>
        </w:rPr>
        <w:t xml:space="preserve"> </w:t>
      </w:r>
      <w:r w:rsidRPr="00C03BF2">
        <w:rPr>
          <w:rFonts w:ascii="Palatino Linotype" w:hAnsi="Palatino Linotype"/>
          <w:i/>
          <w:iCs/>
          <w:color w:val="000000"/>
          <w:sz w:val="24"/>
          <w:szCs w:val="24"/>
        </w:rPr>
        <w:t>la distanza da istituti scolastici di qualsiasi ordine e grado, centri giovanili e impianti sportivi o da altri luoghi sensibili entro la quale è vietato autorizzare nuove sale giochi o la nuova collocazione di apparecchi da gioco d'azzardo nonché la relativa sanzione amministrativa in caso di mancato rispetto della stessa;</w:t>
      </w:r>
    </w:p>
    <w:p w14:paraId="39BBC9A3" w14:textId="1D0F41C1" w:rsidR="001301F3" w:rsidRPr="00C03BF2" w:rsidRDefault="001065BD" w:rsidP="00C03BF2">
      <w:pPr>
        <w:pStyle w:val="Paragrafoelenco"/>
        <w:numPr>
          <w:ilvl w:val="0"/>
          <w:numId w:val="12"/>
        </w:numPr>
        <w:jc w:val="both"/>
        <w:rPr>
          <w:rFonts w:ascii="Palatino Linotype" w:hAnsi="Palatino Linotype"/>
          <w:i/>
          <w:iCs/>
          <w:color w:val="000000"/>
          <w:sz w:val="24"/>
          <w:szCs w:val="24"/>
        </w:rPr>
      </w:pPr>
      <w:r w:rsidRPr="00C03BF2">
        <w:rPr>
          <w:rFonts w:ascii="Palatino Linotype" w:hAnsi="Palatino Linotype"/>
          <w:i/>
          <w:sz w:val="24"/>
          <w:szCs w:val="24"/>
          <w:lang w:eastAsia="it-IT"/>
        </w:rPr>
        <w:t>all’art. 7 comm</w:t>
      </w:r>
      <w:r w:rsidR="007040D4" w:rsidRPr="00C03BF2">
        <w:rPr>
          <w:rFonts w:ascii="Palatino Linotype" w:hAnsi="Palatino Linotype"/>
          <w:i/>
          <w:sz w:val="24"/>
          <w:szCs w:val="24"/>
          <w:lang w:eastAsia="it-IT"/>
        </w:rPr>
        <w:t>a</w:t>
      </w:r>
      <w:r w:rsidRPr="00C03BF2">
        <w:rPr>
          <w:rFonts w:ascii="Palatino Linotype" w:hAnsi="Palatino Linotype"/>
          <w:i/>
          <w:sz w:val="24"/>
          <w:szCs w:val="24"/>
          <w:lang w:eastAsia="it-IT"/>
        </w:rPr>
        <w:t xml:space="preserve"> 4 </w:t>
      </w:r>
      <w:r w:rsidR="00D3507B" w:rsidRPr="00C03BF2">
        <w:rPr>
          <w:rFonts w:ascii="Palatino Linotype" w:hAnsi="Palatino Linotype"/>
          <w:i/>
          <w:color w:val="000000"/>
          <w:sz w:val="24"/>
          <w:szCs w:val="24"/>
        </w:rPr>
        <w:t>della L.R. 10 settembre 2019 n. 38</w:t>
      </w:r>
      <w:r w:rsidR="00D3507B" w:rsidRPr="00C03BF2">
        <w:rPr>
          <w:rFonts w:ascii="Palatino Linotype" w:hAnsi="Palatino Linotype"/>
          <w:b/>
          <w:bCs/>
          <w:i/>
          <w:color w:val="000000"/>
          <w:sz w:val="24"/>
          <w:szCs w:val="24"/>
        </w:rPr>
        <w:t xml:space="preserve"> </w:t>
      </w:r>
      <w:r w:rsidR="00D3507B" w:rsidRPr="00C03BF2">
        <w:rPr>
          <w:rFonts w:ascii="Palatino Linotype" w:hAnsi="Palatino Linotype"/>
          <w:i/>
          <w:color w:val="000000"/>
          <w:sz w:val="24"/>
          <w:szCs w:val="24"/>
        </w:rPr>
        <w:t xml:space="preserve"> </w:t>
      </w:r>
      <w:r w:rsidRPr="00C03BF2">
        <w:rPr>
          <w:rFonts w:ascii="Palatino Linotype" w:hAnsi="Palatino Linotype"/>
          <w:i/>
          <w:sz w:val="24"/>
          <w:szCs w:val="24"/>
          <w:lang w:eastAsia="it-IT"/>
        </w:rPr>
        <w:t>che recita:</w:t>
      </w:r>
      <w:r w:rsidR="001301F3" w:rsidRPr="00C03BF2">
        <w:rPr>
          <w:rFonts w:ascii="Palatino Linotype" w:hAnsi="Palatino Linotype"/>
          <w:i/>
          <w:sz w:val="24"/>
          <w:szCs w:val="24"/>
          <w:lang w:eastAsia="it-IT"/>
        </w:rPr>
        <w:t xml:space="preserve"> </w:t>
      </w:r>
      <w:r w:rsidR="001E1324" w:rsidRPr="00C03BF2">
        <w:rPr>
          <w:rFonts w:ascii="Palatino Linotype" w:hAnsi="Palatino Linotype"/>
          <w:i/>
          <w:sz w:val="24"/>
          <w:szCs w:val="24"/>
          <w:lang w:eastAsia="it-IT"/>
        </w:rPr>
        <w:t>I</w:t>
      </w:r>
      <w:r w:rsidR="001301F3" w:rsidRPr="00C03BF2">
        <w:rPr>
          <w:rFonts w:ascii="Palatino Linotype" w:hAnsi="Palatino Linotype"/>
          <w:i/>
          <w:sz w:val="24"/>
          <w:szCs w:val="24"/>
          <w:lang w:eastAsia="it-IT"/>
        </w:rPr>
        <w:t xml:space="preserve"> </w:t>
      </w:r>
      <w:r w:rsidR="001E1324" w:rsidRPr="00C03BF2">
        <w:rPr>
          <w:rFonts w:ascii="Palatino Linotype" w:hAnsi="Palatino Linotype"/>
          <w:i/>
          <w:sz w:val="24"/>
          <w:szCs w:val="24"/>
          <w:lang w:eastAsia="it-IT"/>
        </w:rPr>
        <w:t>C</w:t>
      </w:r>
      <w:r w:rsidR="001301F3" w:rsidRPr="00C03BF2">
        <w:rPr>
          <w:rFonts w:ascii="Palatino Linotype" w:hAnsi="Palatino Linotype"/>
          <w:i/>
          <w:sz w:val="24"/>
          <w:szCs w:val="24"/>
          <w:lang w:eastAsia="it-IT"/>
        </w:rPr>
        <w:t xml:space="preserve">omuni, in conformità alle previsioni di cui alla legge regionale 23 aprile 2004, n. 11 “Norme per il governo del territorio e in materia di paesaggio”, dettano nei rispettivi strumenti di pianificazione urbanistica e territoriale specifiche previsioni in ordine all’ubicazione delle sale da gioco, </w:t>
      </w:r>
      <w:r w:rsidR="001E1324" w:rsidRPr="00C03BF2">
        <w:rPr>
          <w:rFonts w:ascii="Palatino Linotype" w:hAnsi="Palatino Linotype"/>
          <w:i/>
          <w:sz w:val="24"/>
          <w:szCs w:val="24"/>
          <w:lang w:eastAsia="it-IT"/>
        </w:rPr>
        <w:t>ivi compresi gli elementi architettonici, strutturali e dimensionali di tali strutture e delle relative pertinenze, tenuto anche conto</w:t>
      </w:r>
      <w:r w:rsidR="001301F3" w:rsidRPr="00C03BF2">
        <w:rPr>
          <w:rFonts w:ascii="Palatino Linotype" w:hAnsi="Palatino Linotype"/>
          <w:i/>
          <w:sz w:val="24"/>
          <w:szCs w:val="24"/>
          <w:lang w:eastAsia="it-IT"/>
        </w:rPr>
        <w:t xml:space="preserve"> di quanto disposto dall’articolo </w:t>
      </w:r>
      <w:r w:rsidR="001E1324" w:rsidRPr="00C03BF2">
        <w:rPr>
          <w:rFonts w:ascii="Palatino Linotype" w:hAnsi="Palatino Linotype"/>
          <w:i/>
          <w:sz w:val="24"/>
          <w:szCs w:val="24"/>
          <w:lang w:eastAsia="it-IT"/>
        </w:rPr>
        <w:t>6</w:t>
      </w:r>
      <w:r w:rsidR="001301F3" w:rsidRPr="00C03BF2">
        <w:rPr>
          <w:rFonts w:ascii="Palatino Linotype" w:hAnsi="Palatino Linotype"/>
          <w:i/>
          <w:sz w:val="24"/>
          <w:szCs w:val="24"/>
          <w:lang w:eastAsia="it-IT"/>
        </w:rPr>
        <w:t xml:space="preserve"> </w:t>
      </w:r>
      <w:r w:rsidR="001E1324" w:rsidRPr="00C03BF2">
        <w:rPr>
          <w:rFonts w:ascii="Palatino Linotype" w:hAnsi="Palatino Linotype"/>
          <w:i/>
          <w:sz w:val="24"/>
          <w:szCs w:val="24"/>
          <w:lang w:eastAsia="it-IT"/>
        </w:rPr>
        <w:t>e in considerazione degli investimenti esistenti relativi agli attuali punti gioco;</w:t>
      </w:r>
    </w:p>
    <w:p w14:paraId="3BB9C780" w14:textId="1311184F" w:rsidR="001301F3" w:rsidRPr="00C03BF2" w:rsidRDefault="007040D4" w:rsidP="00C03BF2">
      <w:pPr>
        <w:pStyle w:val="Paragrafoelenco"/>
        <w:numPr>
          <w:ilvl w:val="0"/>
          <w:numId w:val="11"/>
        </w:numPr>
        <w:spacing w:before="60"/>
        <w:ind w:left="284" w:hanging="284"/>
        <w:jc w:val="both"/>
        <w:rPr>
          <w:rFonts w:ascii="Palatino Linotype" w:hAnsi="Palatino Linotype"/>
          <w:i/>
          <w:sz w:val="24"/>
          <w:szCs w:val="24"/>
          <w:lang w:eastAsia="it-IT"/>
        </w:rPr>
      </w:pPr>
      <w:r w:rsidRPr="00C03BF2">
        <w:rPr>
          <w:rFonts w:ascii="Palatino Linotype" w:hAnsi="Palatino Linotype"/>
          <w:sz w:val="24"/>
          <w:szCs w:val="24"/>
        </w:rPr>
        <w:t>art. 7 comma 5</w:t>
      </w:r>
      <w:r w:rsidR="00D3507B" w:rsidRPr="00C03BF2">
        <w:rPr>
          <w:rFonts w:ascii="Palatino Linotype" w:hAnsi="Palatino Linotype"/>
          <w:sz w:val="24"/>
          <w:szCs w:val="24"/>
        </w:rPr>
        <w:t xml:space="preserve"> della L.R. 10 settembre 2019 n. 38 </w:t>
      </w:r>
      <w:r w:rsidRPr="00C03BF2">
        <w:rPr>
          <w:rFonts w:ascii="Palatino Linotype" w:hAnsi="Palatino Linotype"/>
          <w:sz w:val="24"/>
          <w:szCs w:val="24"/>
        </w:rPr>
        <w:t>che</w:t>
      </w:r>
      <w:r w:rsidRPr="00C03BF2">
        <w:rPr>
          <w:rFonts w:ascii="Palatino Linotype" w:hAnsi="Palatino Linotype"/>
          <w:i/>
          <w:sz w:val="24"/>
          <w:szCs w:val="24"/>
          <w:lang w:eastAsia="it-IT"/>
        </w:rPr>
        <w:t xml:space="preserve"> recita </w:t>
      </w:r>
      <w:r w:rsidR="00DB55A4" w:rsidRPr="00C03BF2">
        <w:rPr>
          <w:rFonts w:ascii="Palatino Linotype" w:hAnsi="Palatino Linotype"/>
          <w:i/>
          <w:sz w:val="24"/>
          <w:szCs w:val="24"/>
          <w:lang w:eastAsia="it-IT"/>
        </w:rPr>
        <w:t>“</w:t>
      </w:r>
      <w:r w:rsidR="001301F3" w:rsidRPr="00C03BF2">
        <w:rPr>
          <w:rFonts w:ascii="Palatino Linotype" w:hAnsi="Palatino Linotype"/>
          <w:i/>
          <w:sz w:val="24"/>
          <w:szCs w:val="24"/>
          <w:lang w:eastAsia="it-IT"/>
        </w:rPr>
        <w:t xml:space="preserve">Fino all’adeguamento degli strumenti di pianificazione comunale alle disposizioni di cui al comma </w:t>
      </w:r>
      <w:r w:rsidRPr="00C03BF2">
        <w:rPr>
          <w:rFonts w:ascii="Palatino Linotype" w:hAnsi="Palatino Linotype"/>
          <w:i/>
          <w:sz w:val="24"/>
          <w:szCs w:val="24"/>
          <w:lang w:eastAsia="it-IT"/>
        </w:rPr>
        <w:t>4</w:t>
      </w:r>
      <w:r w:rsidR="001301F3" w:rsidRPr="00C03BF2">
        <w:rPr>
          <w:rFonts w:ascii="Palatino Linotype" w:hAnsi="Palatino Linotype"/>
          <w:i/>
          <w:sz w:val="24"/>
          <w:szCs w:val="24"/>
          <w:lang w:eastAsia="it-IT"/>
        </w:rPr>
        <w:t>, le nuove sale da gioco sono realizza</w:t>
      </w:r>
      <w:r w:rsidR="0032447B" w:rsidRPr="00C03BF2">
        <w:rPr>
          <w:rFonts w:ascii="Palatino Linotype" w:hAnsi="Palatino Linotype"/>
          <w:i/>
          <w:sz w:val="24"/>
          <w:szCs w:val="24"/>
          <w:lang w:eastAsia="it-IT"/>
        </w:rPr>
        <w:t>te</w:t>
      </w:r>
      <w:r w:rsidR="001301F3" w:rsidRPr="00C03BF2">
        <w:rPr>
          <w:rFonts w:ascii="Palatino Linotype" w:hAnsi="Palatino Linotype"/>
          <w:i/>
          <w:sz w:val="24"/>
          <w:szCs w:val="24"/>
          <w:lang w:eastAsia="it-IT"/>
        </w:rPr>
        <w:t>:</w:t>
      </w:r>
    </w:p>
    <w:p w14:paraId="612753A3" w14:textId="50E3EBF7" w:rsidR="001301F3" w:rsidRDefault="001301F3" w:rsidP="00C03BF2">
      <w:pPr>
        <w:pStyle w:val="Paragrafoelenco"/>
        <w:numPr>
          <w:ilvl w:val="0"/>
          <w:numId w:val="13"/>
        </w:numPr>
        <w:spacing w:before="60"/>
        <w:ind w:left="1134" w:hanging="425"/>
        <w:jc w:val="both"/>
        <w:rPr>
          <w:rFonts w:ascii="Palatino Linotype" w:hAnsi="Palatino Linotype"/>
          <w:i/>
          <w:sz w:val="24"/>
          <w:szCs w:val="24"/>
          <w:lang w:eastAsia="it-IT"/>
        </w:rPr>
      </w:pPr>
      <w:r w:rsidRPr="00C03BF2">
        <w:rPr>
          <w:rFonts w:ascii="Palatino Linotype" w:hAnsi="Palatino Linotype"/>
          <w:i/>
          <w:sz w:val="24"/>
          <w:szCs w:val="24"/>
          <w:lang w:eastAsia="it-IT"/>
        </w:rPr>
        <w:t>nei comuni dotati del piano di assetto del territorio (PAT), di cui all’articolo 13 della legge regionale 23 aprile 2004, n. 11, nelle aree destinate alle attività produttive, così come disciplinate dal piano degli interventi (PI), di cui all’articolo 17 della legge regionale 23 aprile 2004, n. 11;</w:t>
      </w:r>
    </w:p>
    <w:p w14:paraId="3CC081C3" w14:textId="14BDE058" w:rsidR="001301F3" w:rsidRPr="00C03BF2" w:rsidRDefault="001301F3" w:rsidP="00C03BF2">
      <w:pPr>
        <w:pStyle w:val="Paragrafoelenco"/>
        <w:numPr>
          <w:ilvl w:val="0"/>
          <w:numId w:val="13"/>
        </w:numPr>
        <w:spacing w:before="60"/>
        <w:ind w:left="1134" w:hanging="425"/>
        <w:jc w:val="both"/>
        <w:rPr>
          <w:rFonts w:ascii="Palatino Linotype" w:hAnsi="Palatino Linotype"/>
          <w:i/>
          <w:sz w:val="24"/>
          <w:szCs w:val="24"/>
          <w:lang w:eastAsia="it-IT"/>
        </w:rPr>
      </w:pPr>
      <w:r w:rsidRPr="00C03BF2">
        <w:rPr>
          <w:rFonts w:ascii="Palatino Linotype" w:hAnsi="Palatino Linotype"/>
          <w:i/>
          <w:sz w:val="24"/>
          <w:szCs w:val="24"/>
          <w:lang w:eastAsia="it-IT"/>
        </w:rPr>
        <w:t>nei comuni non dotati di PAT, nelle zone territoriali omogenee D di cui al decreto ministeriale 2 aprile 1968, n. 1444 “Limiti inderogabili di densità edilizia, di altezza, di distanza fra i fabbricati e rapporti massimi tra spazi destinati agli insediamenti residenziali e produttivi e spazi pubblici o riservati alle attività collettive, al verde pubblico o a parcheggi da osservare ai fini della formazione dei nuovi strumenti urbanistici o della revisione di quelli esistenti, ai sensi dell’art. 17 della L. 6 agosto 1967, n. 765.”.</w:t>
      </w:r>
    </w:p>
    <w:p w14:paraId="7CAC1EEE" w14:textId="2CD0C5BB" w:rsidR="00551EAB" w:rsidRDefault="00077C67" w:rsidP="00C03BF2">
      <w:pPr>
        <w:pStyle w:val="Paragrafoelenco"/>
        <w:numPr>
          <w:ilvl w:val="0"/>
          <w:numId w:val="11"/>
        </w:numPr>
        <w:ind w:left="284" w:hanging="284"/>
        <w:jc w:val="both"/>
        <w:rPr>
          <w:rFonts w:ascii="Palatino Linotype" w:hAnsi="Palatino Linotype"/>
          <w:sz w:val="24"/>
          <w:szCs w:val="24"/>
        </w:rPr>
      </w:pPr>
      <w:r w:rsidRPr="00C03BF2">
        <w:rPr>
          <w:rFonts w:ascii="Palatino Linotype" w:hAnsi="Palatino Linotype"/>
          <w:sz w:val="24"/>
          <w:szCs w:val="24"/>
        </w:rPr>
        <w:t>S</w:t>
      </w:r>
      <w:r w:rsidR="0035164C" w:rsidRPr="00C03BF2">
        <w:rPr>
          <w:rFonts w:ascii="Palatino Linotype" w:hAnsi="Palatino Linotype"/>
          <w:sz w:val="24"/>
          <w:szCs w:val="24"/>
        </w:rPr>
        <w:t xml:space="preserve">entenza Consiglio di Stato sez. III 10 febbraio 2018 n. 579 </w:t>
      </w:r>
      <w:r w:rsidR="00506F48" w:rsidRPr="00C03BF2">
        <w:rPr>
          <w:rFonts w:ascii="Palatino Linotype" w:hAnsi="Palatino Linotype"/>
          <w:sz w:val="24"/>
          <w:szCs w:val="24"/>
        </w:rPr>
        <w:t xml:space="preserve">che </w:t>
      </w:r>
      <w:r w:rsidR="00FF78FA" w:rsidRPr="00C03BF2">
        <w:rPr>
          <w:rFonts w:ascii="Palatino Linotype" w:hAnsi="Palatino Linotype"/>
          <w:sz w:val="24"/>
          <w:szCs w:val="24"/>
        </w:rPr>
        <w:t xml:space="preserve">precisa che </w:t>
      </w:r>
      <w:r w:rsidR="00506F48" w:rsidRPr="00C03BF2">
        <w:rPr>
          <w:rFonts w:ascii="Palatino Linotype" w:hAnsi="Palatino Linotype"/>
          <w:sz w:val="24"/>
          <w:szCs w:val="24"/>
        </w:rPr>
        <w:t xml:space="preserve">risponde ad un’esigenza </w:t>
      </w:r>
      <w:r w:rsidR="00DF0E6F" w:rsidRPr="00C03BF2">
        <w:rPr>
          <w:rFonts w:ascii="Palatino Linotype" w:hAnsi="Palatino Linotype"/>
          <w:sz w:val="24"/>
          <w:szCs w:val="24"/>
        </w:rPr>
        <w:t xml:space="preserve">di ragionevolezza </w:t>
      </w:r>
      <w:r w:rsidR="002E76E6" w:rsidRPr="00C03BF2">
        <w:rPr>
          <w:rFonts w:ascii="Palatino Linotype" w:hAnsi="Palatino Linotype"/>
          <w:sz w:val="24"/>
          <w:szCs w:val="24"/>
        </w:rPr>
        <w:t>stabilire</w:t>
      </w:r>
      <w:r w:rsidR="00DF0E6F" w:rsidRPr="00C03BF2">
        <w:rPr>
          <w:rFonts w:ascii="Palatino Linotype" w:hAnsi="Palatino Linotype"/>
          <w:sz w:val="24"/>
          <w:szCs w:val="24"/>
        </w:rPr>
        <w:t xml:space="preserve"> una distanza minima fissa, presuntivamente idonea ad assicurare un effetto dissuasivo, proteggendo i frequentatori dei </w:t>
      </w:r>
      <w:proofErr w:type="spellStart"/>
      <w:proofErr w:type="gramStart"/>
      <w:r w:rsidR="00DF0E6F" w:rsidRPr="00C03BF2">
        <w:rPr>
          <w:rFonts w:ascii="Palatino Linotype" w:hAnsi="Palatino Linotype"/>
          <w:sz w:val="24"/>
          <w:szCs w:val="24"/>
        </w:rPr>
        <w:t>c.d</w:t>
      </w:r>
      <w:proofErr w:type="spellEnd"/>
      <w:r w:rsidR="00E020C3" w:rsidRPr="00C03BF2">
        <w:rPr>
          <w:rFonts w:ascii="Palatino Linotype" w:hAnsi="Palatino Linotype"/>
          <w:sz w:val="24"/>
          <w:szCs w:val="24"/>
        </w:rPr>
        <w:t xml:space="preserve"> </w:t>
      </w:r>
      <w:r w:rsidR="00DF0E6F" w:rsidRPr="00C03BF2">
        <w:rPr>
          <w:rFonts w:ascii="Palatino Linotype" w:hAnsi="Palatino Linotype"/>
          <w:sz w:val="24"/>
          <w:szCs w:val="24"/>
        </w:rPr>
        <w:t>”siti</w:t>
      </w:r>
      <w:proofErr w:type="gramEnd"/>
      <w:r w:rsidR="00DF0E6F" w:rsidRPr="00C03BF2">
        <w:rPr>
          <w:rFonts w:ascii="Palatino Linotype" w:hAnsi="Palatino Linotype"/>
          <w:sz w:val="24"/>
          <w:szCs w:val="24"/>
        </w:rPr>
        <w:t xml:space="preserve"> sensibili”;</w:t>
      </w:r>
    </w:p>
    <w:p w14:paraId="6E0074EC" w14:textId="21D0A8DD" w:rsidR="00BD3EE9" w:rsidRDefault="00B81DC7" w:rsidP="00C03BF2">
      <w:pPr>
        <w:pStyle w:val="Paragrafoelenco"/>
        <w:numPr>
          <w:ilvl w:val="0"/>
          <w:numId w:val="11"/>
        </w:numPr>
        <w:ind w:left="284" w:hanging="284"/>
        <w:jc w:val="both"/>
        <w:rPr>
          <w:rFonts w:ascii="Palatino Linotype" w:hAnsi="Palatino Linotype"/>
          <w:sz w:val="24"/>
          <w:szCs w:val="24"/>
        </w:rPr>
      </w:pPr>
      <w:r w:rsidRPr="00C03BF2">
        <w:rPr>
          <w:rFonts w:ascii="Palatino Linotype" w:hAnsi="Palatino Linotype"/>
          <w:sz w:val="24"/>
          <w:szCs w:val="24"/>
        </w:rPr>
        <w:t>S</w:t>
      </w:r>
      <w:r w:rsidR="00DF0E6F" w:rsidRPr="00C03BF2">
        <w:rPr>
          <w:rFonts w:ascii="Palatino Linotype" w:hAnsi="Palatino Linotype"/>
          <w:sz w:val="24"/>
          <w:szCs w:val="24"/>
        </w:rPr>
        <w:t>ente</w:t>
      </w:r>
      <w:r w:rsidR="005F07D2" w:rsidRPr="00C03BF2">
        <w:rPr>
          <w:rFonts w:ascii="Palatino Linotype" w:hAnsi="Palatino Linotype"/>
          <w:sz w:val="24"/>
          <w:szCs w:val="24"/>
        </w:rPr>
        <w:t xml:space="preserve">nza Consiglio di Stato sez. IV 8 novembre 2018 n. 6714 </w:t>
      </w:r>
      <w:r w:rsidR="007E61EA" w:rsidRPr="00C03BF2">
        <w:rPr>
          <w:rFonts w:ascii="Palatino Linotype" w:hAnsi="Palatino Linotype"/>
          <w:sz w:val="24"/>
          <w:szCs w:val="24"/>
        </w:rPr>
        <w:t>che</w:t>
      </w:r>
      <w:r w:rsidR="005F07D2" w:rsidRPr="00C03BF2">
        <w:rPr>
          <w:rFonts w:ascii="Palatino Linotype" w:hAnsi="Palatino Linotype"/>
          <w:sz w:val="24"/>
          <w:szCs w:val="24"/>
        </w:rPr>
        <w:t xml:space="preserve"> ribadisce che la previsione di limitazioni territoriali alla collocazione di nuove sale scommesse, VLT, Bingo e negozi dedicati, costituisce espressione di ampia discrezionalità del Comune competente, </w:t>
      </w:r>
      <w:r w:rsidR="005F07D2" w:rsidRPr="00C03BF2">
        <w:rPr>
          <w:rFonts w:ascii="Palatino Linotype" w:hAnsi="Palatino Linotype"/>
          <w:sz w:val="24"/>
          <w:szCs w:val="24"/>
        </w:rPr>
        <w:lastRenderedPageBreak/>
        <w:t>limitatamente sindacabile in sede giurisdizionale; afferma inoltre che la decisione di stabilire una distanza di 500 metri risulta essere sufficientemente ragionevole, adeguata e proporzionata rispetto ai fini della ludopatia e di tutela della salute dei soggetti più deboli;</w:t>
      </w:r>
      <w:r w:rsidR="00BD3EE9" w:rsidRPr="00C03BF2">
        <w:rPr>
          <w:rFonts w:ascii="Palatino Linotype" w:hAnsi="Palatino Linotype"/>
          <w:sz w:val="24"/>
          <w:szCs w:val="24"/>
        </w:rPr>
        <w:t xml:space="preserve"> </w:t>
      </w:r>
    </w:p>
    <w:p w14:paraId="50B7A477" w14:textId="3F243F9C" w:rsidR="00BD3EE9" w:rsidRDefault="00BD3EE9" w:rsidP="00C03BF2">
      <w:pPr>
        <w:pStyle w:val="Paragrafoelenco"/>
        <w:numPr>
          <w:ilvl w:val="0"/>
          <w:numId w:val="11"/>
        </w:numPr>
        <w:ind w:left="284" w:hanging="284"/>
        <w:jc w:val="both"/>
        <w:rPr>
          <w:rFonts w:ascii="Palatino Linotype" w:hAnsi="Palatino Linotype"/>
          <w:sz w:val="24"/>
          <w:szCs w:val="24"/>
        </w:rPr>
      </w:pPr>
      <w:r w:rsidRPr="00C03BF2">
        <w:rPr>
          <w:rFonts w:ascii="Palatino Linotype" w:hAnsi="Palatino Linotype"/>
          <w:color w:val="000000" w:themeColor="text1"/>
          <w:sz w:val="24"/>
          <w:szCs w:val="24"/>
        </w:rPr>
        <w:t xml:space="preserve">Sentenza Corte  </w:t>
      </w:r>
      <w:r w:rsidRPr="00C03BF2">
        <w:rPr>
          <w:rFonts w:ascii="Palatino Linotype" w:eastAsia="Times New Roman" w:hAnsi="Palatino Linotype"/>
          <w:sz w:val="24"/>
          <w:szCs w:val="24"/>
          <w:lang w:eastAsia="it-IT"/>
        </w:rPr>
        <w:t xml:space="preserve">Costituzionale 11 maggio 2017 n. 108 </w:t>
      </w:r>
      <w:r w:rsidRPr="00C03BF2">
        <w:rPr>
          <w:rFonts w:ascii="Palatino Linotype" w:hAnsi="Palatino Linotype"/>
          <w:sz w:val="24"/>
          <w:szCs w:val="24"/>
        </w:rPr>
        <w:t>che, in riferimento all’art. 117, commi 2, lettera h) e 3 della Costituzione, dichiara non fondate le questioni di legittimità costituzionale dell’art. 7 della legge della Regione Puglia 13 dicembre 2013, n. 43, recante «Contrasto alla diffusione del gioco d’azzardo patologico (GAP)», nella parte in cui vieta il rilascio dell’autorizzazione all’esercizio di sale da gioco e all’installazione di apparecchi da gioco nel caso di ubicazione a distanza inferiore a cinquecento metri pedonali dai luoghi cosiddetti “sensibili” ivi indicati;</w:t>
      </w:r>
    </w:p>
    <w:p w14:paraId="28E6DC5C" w14:textId="516AB311" w:rsidR="00860FF6" w:rsidRPr="00C03BF2" w:rsidRDefault="00C02247" w:rsidP="00C03BF2">
      <w:pPr>
        <w:pStyle w:val="Paragrafoelenco"/>
        <w:numPr>
          <w:ilvl w:val="0"/>
          <w:numId w:val="11"/>
        </w:numPr>
        <w:ind w:left="284" w:hanging="284"/>
        <w:jc w:val="both"/>
        <w:rPr>
          <w:rFonts w:ascii="Palatino Linotype" w:hAnsi="Palatino Linotype"/>
          <w:sz w:val="24"/>
          <w:szCs w:val="24"/>
        </w:rPr>
      </w:pPr>
      <w:r w:rsidRPr="00C03BF2">
        <w:rPr>
          <w:rFonts w:ascii="Palatino Linotype" w:hAnsi="Palatino Linotype"/>
          <w:sz w:val="24"/>
          <w:szCs w:val="24"/>
        </w:rPr>
        <w:t>S</w:t>
      </w:r>
      <w:r w:rsidR="00860FF6" w:rsidRPr="00C03BF2">
        <w:rPr>
          <w:rFonts w:ascii="Palatino Linotype" w:hAnsi="Palatino Linotype"/>
          <w:sz w:val="24"/>
          <w:szCs w:val="24"/>
        </w:rPr>
        <w:t>entenza della Corte Costituzionale</w:t>
      </w:r>
      <w:r w:rsidR="00CF4664" w:rsidRPr="00C03BF2">
        <w:rPr>
          <w:rFonts w:ascii="Palatino Linotype" w:hAnsi="Palatino Linotype"/>
          <w:sz w:val="24"/>
          <w:szCs w:val="24"/>
        </w:rPr>
        <w:t xml:space="preserve"> 22 gennaio 2019 n. 27 </w:t>
      </w:r>
      <w:r w:rsidR="001A6DB3" w:rsidRPr="00C03BF2">
        <w:rPr>
          <w:rFonts w:ascii="Palatino Linotype" w:hAnsi="Palatino Linotype"/>
          <w:sz w:val="24"/>
          <w:szCs w:val="24"/>
        </w:rPr>
        <w:t xml:space="preserve">che </w:t>
      </w:r>
      <w:r w:rsidR="007E07F3" w:rsidRPr="00C03BF2">
        <w:rPr>
          <w:rFonts w:ascii="Palatino Linotype" w:hAnsi="Palatino Linotype"/>
          <w:sz w:val="24"/>
          <w:szCs w:val="24"/>
        </w:rPr>
        <w:t>ritiene</w:t>
      </w:r>
      <w:r w:rsidR="001A6DB3" w:rsidRPr="00C03BF2">
        <w:rPr>
          <w:rFonts w:ascii="Palatino Linotype" w:hAnsi="Palatino Linotype"/>
          <w:sz w:val="24"/>
          <w:szCs w:val="24"/>
        </w:rPr>
        <w:t xml:space="preserve"> non irragionevoli le scelte regionali di ampliare il numero dei luoghi sensibili, includendovi persino i luoghi adibiti ad “ attività operative nei confronti del pubblico che si configurano altresì come luoghi di aggregazione, in cui possono transitare soggetti in difficoltà”, e ha dichiarato</w:t>
      </w:r>
      <w:r w:rsidR="00CF4664" w:rsidRPr="00C03BF2">
        <w:rPr>
          <w:rFonts w:ascii="Palatino Linotype" w:hAnsi="Palatino Linotype"/>
          <w:sz w:val="24"/>
          <w:szCs w:val="24"/>
        </w:rPr>
        <w:t xml:space="preserve"> non fondate le questioni di legittimità costituzionale in merito alla legge regionale Abruzzo n. 40/ 2013 in particolare per l’inclusione delle “caserme militari” tra i luoghi sensibili;</w:t>
      </w:r>
    </w:p>
    <w:p w14:paraId="3BA0903C" w14:textId="77777777" w:rsidR="00E45409" w:rsidRPr="00C03BF2" w:rsidRDefault="00E45409" w:rsidP="002B7FAB">
      <w:pPr>
        <w:ind w:left="0" w:firstLine="0"/>
        <w:jc w:val="both"/>
        <w:rPr>
          <w:rFonts w:ascii="Palatino Linotype" w:hAnsi="Palatino Linotype"/>
          <w:color w:val="0070C0"/>
          <w:sz w:val="24"/>
          <w:szCs w:val="24"/>
        </w:rPr>
      </w:pPr>
    </w:p>
    <w:p w14:paraId="037E1A30" w14:textId="6406FF99" w:rsidR="00567267" w:rsidRPr="00C00901" w:rsidRDefault="00567267" w:rsidP="00C00901">
      <w:pPr>
        <w:autoSpaceDE w:val="0"/>
        <w:autoSpaceDN w:val="0"/>
        <w:adjustRightInd w:val="0"/>
        <w:ind w:left="28" w:firstLine="0"/>
        <w:jc w:val="both"/>
        <w:rPr>
          <w:rFonts w:ascii="Palatino Linotype" w:hAnsi="Palatino Linotype"/>
          <w:b/>
          <w:color w:val="000000"/>
          <w:sz w:val="24"/>
          <w:szCs w:val="24"/>
        </w:rPr>
      </w:pPr>
      <w:r w:rsidRPr="00C00901">
        <w:rPr>
          <w:rFonts w:ascii="Palatino Linotype" w:hAnsi="Palatino Linotype"/>
          <w:b/>
          <w:color w:val="000000"/>
          <w:sz w:val="24"/>
          <w:szCs w:val="24"/>
        </w:rPr>
        <w:t>ATTES</w:t>
      </w:r>
      <w:r w:rsidR="0084445B" w:rsidRPr="00C00901">
        <w:rPr>
          <w:rFonts w:ascii="Palatino Linotype" w:hAnsi="Palatino Linotype"/>
          <w:b/>
          <w:color w:val="000000"/>
          <w:sz w:val="24"/>
          <w:szCs w:val="24"/>
        </w:rPr>
        <w:t>E</w:t>
      </w:r>
    </w:p>
    <w:p w14:paraId="19CA2D55" w14:textId="6534C087" w:rsidR="003318E2" w:rsidRPr="00577F44" w:rsidRDefault="007A4321" w:rsidP="002B7FAB">
      <w:pPr>
        <w:ind w:left="0" w:firstLine="0"/>
        <w:jc w:val="both"/>
        <w:rPr>
          <w:rFonts w:ascii="Palatino Linotype" w:hAnsi="Palatino Linotype"/>
          <w:b/>
          <w:bCs/>
          <w:sz w:val="24"/>
          <w:szCs w:val="24"/>
        </w:rPr>
      </w:pPr>
      <w:r w:rsidRPr="00577F44">
        <w:rPr>
          <w:rFonts w:ascii="Palatino Linotype" w:hAnsi="Palatino Linotype"/>
          <w:b/>
          <w:bCs/>
          <w:sz w:val="24"/>
          <w:szCs w:val="24"/>
        </w:rPr>
        <w:t xml:space="preserve"> </w:t>
      </w:r>
      <w:r w:rsidR="00A67B1A" w:rsidRPr="00577F44">
        <w:rPr>
          <w:rFonts w:ascii="Palatino Linotype" w:hAnsi="Palatino Linotype"/>
          <w:b/>
          <w:bCs/>
          <w:sz w:val="24"/>
          <w:szCs w:val="24"/>
        </w:rPr>
        <w:t xml:space="preserve">in merito </w:t>
      </w:r>
      <w:r w:rsidR="006513BC" w:rsidRPr="00577F44">
        <w:rPr>
          <w:rFonts w:ascii="Palatino Linotype" w:hAnsi="Palatino Linotype"/>
          <w:b/>
          <w:bCs/>
          <w:sz w:val="24"/>
          <w:szCs w:val="24"/>
        </w:rPr>
        <w:t>alla</w:t>
      </w:r>
      <w:r w:rsidR="00A07AAD" w:rsidRPr="00577F44">
        <w:rPr>
          <w:rFonts w:ascii="Palatino Linotype" w:hAnsi="Palatino Linotype"/>
          <w:b/>
          <w:bCs/>
          <w:sz w:val="24"/>
          <w:szCs w:val="24"/>
        </w:rPr>
        <w:t xml:space="preserve"> </w:t>
      </w:r>
      <w:r w:rsidR="006513BC" w:rsidRPr="00577F44">
        <w:rPr>
          <w:rFonts w:ascii="Palatino Linotype" w:hAnsi="Palatino Linotype"/>
          <w:b/>
          <w:bCs/>
          <w:sz w:val="24"/>
          <w:szCs w:val="24"/>
        </w:rPr>
        <w:t>disciplina degli orari</w:t>
      </w:r>
      <w:r w:rsidR="007035F8" w:rsidRPr="00577F44">
        <w:rPr>
          <w:rFonts w:ascii="Palatino Linotype" w:hAnsi="Palatino Linotype"/>
          <w:b/>
          <w:bCs/>
          <w:sz w:val="24"/>
          <w:szCs w:val="24"/>
        </w:rPr>
        <w:t xml:space="preserve"> e alla potestà del Sindaco </w:t>
      </w:r>
      <w:r w:rsidR="0084445B" w:rsidRPr="00577F44">
        <w:rPr>
          <w:rFonts w:ascii="Palatino Linotype" w:hAnsi="Palatino Linotype"/>
          <w:b/>
          <w:bCs/>
          <w:sz w:val="24"/>
          <w:szCs w:val="24"/>
        </w:rPr>
        <w:t>le</w:t>
      </w:r>
      <w:r w:rsidR="007C2273" w:rsidRPr="00577F44">
        <w:rPr>
          <w:rFonts w:ascii="Palatino Linotype" w:hAnsi="Palatino Linotype"/>
          <w:b/>
          <w:bCs/>
          <w:sz w:val="24"/>
          <w:szCs w:val="24"/>
        </w:rPr>
        <w:t xml:space="preserve"> seguenti </w:t>
      </w:r>
      <w:r w:rsidRPr="00577F44">
        <w:rPr>
          <w:rFonts w:ascii="Palatino Linotype" w:hAnsi="Palatino Linotype"/>
          <w:b/>
          <w:bCs/>
          <w:sz w:val="24"/>
          <w:szCs w:val="24"/>
        </w:rPr>
        <w:t>norme e sentenze</w:t>
      </w:r>
      <w:r w:rsidR="006D0D92" w:rsidRPr="00577F44">
        <w:rPr>
          <w:rFonts w:ascii="Palatino Linotype" w:hAnsi="Palatino Linotype"/>
          <w:b/>
          <w:bCs/>
          <w:sz w:val="24"/>
          <w:szCs w:val="24"/>
        </w:rPr>
        <w:t>:</w:t>
      </w:r>
    </w:p>
    <w:p w14:paraId="7C39E00E" w14:textId="77777777" w:rsidR="003318E2" w:rsidRPr="00C03BF2" w:rsidRDefault="003318E2" w:rsidP="002B7FAB">
      <w:pPr>
        <w:ind w:left="0" w:firstLine="0"/>
        <w:jc w:val="both"/>
        <w:rPr>
          <w:rFonts w:ascii="Palatino Linotype" w:hAnsi="Palatino Linotype"/>
          <w:sz w:val="8"/>
          <w:szCs w:val="8"/>
        </w:rPr>
      </w:pPr>
    </w:p>
    <w:p w14:paraId="25B0CFBA" w14:textId="7CA61DE6" w:rsidR="00AA7BC6" w:rsidRDefault="00AA7BC6"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 xml:space="preserve">art. 8 </w:t>
      </w:r>
      <w:r w:rsidR="00DF70FD" w:rsidRPr="00C00901">
        <w:rPr>
          <w:rFonts w:ascii="Palatino Linotype" w:hAnsi="Palatino Linotype"/>
          <w:sz w:val="24"/>
          <w:szCs w:val="24"/>
        </w:rPr>
        <w:t xml:space="preserve">comma 1 </w:t>
      </w:r>
      <w:r w:rsidRPr="00C00901">
        <w:rPr>
          <w:rFonts w:ascii="Palatino Linotype" w:hAnsi="Palatino Linotype"/>
          <w:sz w:val="24"/>
          <w:szCs w:val="24"/>
        </w:rPr>
        <w:t>della L.R. 10 settembre 2019 n. 38</w:t>
      </w:r>
      <w:r w:rsidRPr="00C00901">
        <w:rPr>
          <w:rFonts w:ascii="Palatino Linotype" w:hAnsi="Palatino Linotype"/>
          <w:b/>
          <w:bCs/>
          <w:sz w:val="24"/>
          <w:szCs w:val="24"/>
        </w:rPr>
        <w:t xml:space="preserve"> </w:t>
      </w:r>
      <w:r w:rsidRPr="00C00901">
        <w:rPr>
          <w:rFonts w:ascii="Palatino Linotype" w:hAnsi="Palatino Linotype"/>
          <w:sz w:val="24"/>
          <w:szCs w:val="24"/>
        </w:rPr>
        <w:t xml:space="preserve">che recita ” </w:t>
      </w:r>
      <w:r w:rsidRPr="00C00901">
        <w:rPr>
          <w:rFonts w:ascii="Palatino Linotype" w:hAnsi="Palatino Linotype"/>
          <w:sz w:val="24"/>
          <w:szCs w:val="24"/>
          <w:lang w:eastAsia="it-IT"/>
        </w:rPr>
        <w:t xml:space="preserve"> La Giunta regionale, entro sessanta giorni dall'entrata in vigore della presente legge, adotta il provvedimento, sul quale acquisisce il parere della competente commissione consiliare, per rendere omogenee sul territorio regionale le fasce orarie di interruzione quotidiana del gioco, secondo quanto previsto dall'intesa </w:t>
      </w:r>
      <w:r w:rsidRPr="00C00901">
        <w:rPr>
          <w:rFonts w:ascii="Palatino Linotype" w:hAnsi="Palatino Linotype"/>
          <w:sz w:val="24"/>
          <w:szCs w:val="24"/>
        </w:rPr>
        <w:t>sottoscritta ai sensi dell'articolo 1, comma 936, della legge 28 dicembre 2015, n. 208 "Disposizioni per la formazione del bilancio annuale e pluriennale dello Stato di cui al comma 1"</w:t>
      </w:r>
      <w:r w:rsidR="00C00901">
        <w:rPr>
          <w:rFonts w:ascii="Palatino Linotype" w:hAnsi="Palatino Linotype"/>
          <w:sz w:val="24"/>
          <w:szCs w:val="24"/>
        </w:rPr>
        <w:t>;</w:t>
      </w:r>
    </w:p>
    <w:p w14:paraId="2C5B5A2E" w14:textId="46010DCF" w:rsidR="00162B20" w:rsidRDefault="00162B20"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Deliberazione della Giunta regionale n. 2006 del 30 dicembre 2019 che adotta il provvedimento di cui all’art. 8 sopracitato, disponendo tre fasce di interruzione giornaliera</w:t>
      </w:r>
      <w:r w:rsidR="00025DCD" w:rsidRPr="00C00901">
        <w:rPr>
          <w:rFonts w:ascii="Palatino Linotype" w:hAnsi="Palatino Linotype"/>
          <w:sz w:val="24"/>
          <w:szCs w:val="24"/>
        </w:rPr>
        <w:t xml:space="preserve"> uguali in tutto il territorio regionale</w:t>
      </w:r>
      <w:r w:rsidRPr="00C00901">
        <w:rPr>
          <w:rFonts w:ascii="Palatino Linotype" w:hAnsi="Palatino Linotype"/>
          <w:sz w:val="24"/>
          <w:szCs w:val="24"/>
        </w:rPr>
        <w:t xml:space="preserve"> </w:t>
      </w:r>
      <w:r w:rsidR="00025DCD" w:rsidRPr="00C00901">
        <w:rPr>
          <w:rFonts w:ascii="Palatino Linotype" w:hAnsi="Palatino Linotype"/>
          <w:sz w:val="24"/>
          <w:szCs w:val="24"/>
        </w:rPr>
        <w:t xml:space="preserve">(dalle 7,00 alle 9,00, dalle 13,00 alle 15,00 e dalle 18,00 alle 20,00) </w:t>
      </w:r>
      <w:r w:rsidR="0024044D" w:rsidRPr="00C00901">
        <w:rPr>
          <w:rFonts w:ascii="Palatino Linotype" w:hAnsi="Palatino Linotype"/>
          <w:sz w:val="24"/>
          <w:szCs w:val="24"/>
        </w:rPr>
        <w:t xml:space="preserve">del funzionamento </w:t>
      </w:r>
      <w:r w:rsidRPr="00C00901">
        <w:rPr>
          <w:rFonts w:ascii="Palatino Linotype" w:hAnsi="Palatino Linotype"/>
          <w:sz w:val="24"/>
          <w:szCs w:val="24"/>
        </w:rPr>
        <w:t>degli apparecchi</w:t>
      </w:r>
      <w:r w:rsidR="00CA171E" w:rsidRPr="00C00901">
        <w:rPr>
          <w:rFonts w:ascii="Palatino Linotype" w:hAnsi="Palatino Linotype"/>
          <w:sz w:val="24"/>
          <w:szCs w:val="24"/>
        </w:rPr>
        <w:t xml:space="preserve"> di cui all’art. 110 comma 6 del TULPS;</w:t>
      </w:r>
    </w:p>
    <w:p w14:paraId="09F40FB1" w14:textId="160DCC38" w:rsidR="003318E2" w:rsidRDefault="00AD4D8A"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color w:val="000000" w:themeColor="text1"/>
          <w:sz w:val="24"/>
          <w:szCs w:val="24"/>
        </w:rPr>
        <w:t xml:space="preserve">Sentenza </w:t>
      </w:r>
      <w:r w:rsidR="003318E2" w:rsidRPr="00C00901">
        <w:rPr>
          <w:rFonts w:ascii="Palatino Linotype" w:hAnsi="Palatino Linotype"/>
          <w:color w:val="000000" w:themeColor="text1"/>
          <w:sz w:val="24"/>
          <w:szCs w:val="24"/>
        </w:rPr>
        <w:t xml:space="preserve">Consiglio di Stato </w:t>
      </w:r>
      <w:r w:rsidR="003E1C48" w:rsidRPr="00C00901">
        <w:rPr>
          <w:rFonts w:ascii="Palatino Linotype" w:hAnsi="Palatino Linotype"/>
          <w:color w:val="000000" w:themeColor="text1"/>
          <w:sz w:val="24"/>
          <w:szCs w:val="24"/>
        </w:rPr>
        <w:t xml:space="preserve"> Sez. V 30 giugno </w:t>
      </w:r>
      <w:r w:rsidR="003318E2" w:rsidRPr="00C00901">
        <w:rPr>
          <w:rFonts w:ascii="Palatino Linotype" w:hAnsi="Palatino Linotype"/>
          <w:color w:val="000000" w:themeColor="text1"/>
          <w:sz w:val="24"/>
          <w:szCs w:val="24"/>
        </w:rPr>
        <w:t>2014</w:t>
      </w:r>
      <w:r w:rsidR="005D3AEA" w:rsidRPr="00C00901">
        <w:rPr>
          <w:rFonts w:ascii="Palatino Linotype" w:hAnsi="Palatino Linotype"/>
          <w:color w:val="000000" w:themeColor="text1"/>
          <w:sz w:val="24"/>
          <w:szCs w:val="24"/>
        </w:rPr>
        <w:t xml:space="preserve"> n. 3271 e </w:t>
      </w:r>
      <w:r w:rsidR="003E1C48" w:rsidRPr="00C00901">
        <w:rPr>
          <w:rFonts w:ascii="Palatino Linotype" w:hAnsi="Palatino Linotype"/>
          <w:color w:val="000000" w:themeColor="text1"/>
          <w:sz w:val="24"/>
          <w:szCs w:val="24"/>
        </w:rPr>
        <w:t xml:space="preserve"> </w:t>
      </w:r>
      <w:r w:rsidRPr="00C00901">
        <w:rPr>
          <w:rFonts w:ascii="Palatino Linotype" w:hAnsi="Palatino Linotype"/>
          <w:color w:val="000000" w:themeColor="text1"/>
          <w:sz w:val="24"/>
          <w:szCs w:val="24"/>
        </w:rPr>
        <w:t xml:space="preserve">Sentenza </w:t>
      </w:r>
      <w:r w:rsidR="003E1C48" w:rsidRPr="00C00901">
        <w:rPr>
          <w:rFonts w:ascii="Palatino Linotype" w:hAnsi="Palatino Linotype"/>
          <w:color w:val="000000" w:themeColor="text1"/>
          <w:sz w:val="24"/>
          <w:szCs w:val="24"/>
        </w:rPr>
        <w:t xml:space="preserve"> 27 agosto </w:t>
      </w:r>
      <w:r w:rsidR="003318E2" w:rsidRPr="00C00901">
        <w:rPr>
          <w:rFonts w:ascii="Palatino Linotype" w:hAnsi="Palatino Linotype"/>
          <w:color w:val="000000" w:themeColor="text1"/>
          <w:sz w:val="24"/>
          <w:szCs w:val="24"/>
        </w:rPr>
        <w:t xml:space="preserve">2014 </w:t>
      </w:r>
      <w:r w:rsidR="005D3AEA" w:rsidRPr="00C00901">
        <w:rPr>
          <w:rFonts w:ascii="Palatino Linotype" w:hAnsi="Palatino Linotype"/>
          <w:color w:val="000000" w:themeColor="text1"/>
          <w:sz w:val="24"/>
          <w:szCs w:val="24"/>
        </w:rPr>
        <w:t xml:space="preserve">n. 3845 </w:t>
      </w:r>
      <w:r w:rsidR="003318E2" w:rsidRPr="00C00901">
        <w:rPr>
          <w:rFonts w:ascii="Palatino Linotype" w:hAnsi="Palatino Linotype"/>
          <w:color w:val="000000" w:themeColor="text1"/>
          <w:sz w:val="24"/>
          <w:szCs w:val="24"/>
        </w:rPr>
        <w:t xml:space="preserve">con le quali i magistrati hanno: "avuto già modo di osservare come la circostanza, per la quale il regime di liberalizzazione degli orari sia applicabile indistintamente agli esercizi commerciali e a quelli di somministrazione, non precluda all'Amministrazione Comunale la possibilità di esercitare, a termini dell'articolo 50, comma 7, del Decreto Legislativo 267/2000, il proprio potere di inibizione delle attività per comprovate esigenze di tutela dell'ordine e della sicurezza pubblica, oltre che del diritto dei terzi al rispetto della quiete pubblica, in caso di </w:t>
      </w:r>
      <w:r w:rsidR="003318E2" w:rsidRPr="00C00901">
        <w:rPr>
          <w:rFonts w:ascii="Palatino Linotype" w:hAnsi="Palatino Linotype"/>
          <w:sz w:val="24"/>
          <w:szCs w:val="24"/>
        </w:rPr>
        <w:t xml:space="preserve">accertata lesione di interessi pubblici quali quelli in tema di sicurezza, libertà, dignità umana, utilità sociale, salute"; </w:t>
      </w:r>
    </w:p>
    <w:p w14:paraId="79E9B31A" w14:textId="7081572C" w:rsidR="003318E2" w:rsidRDefault="00C00901" w:rsidP="00C00901">
      <w:pPr>
        <w:pStyle w:val="Paragrafoelenco"/>
        <w:numPr>
          <w:ilvl w:val="0"/>
          <w:numId w:val="15"/>
        </w:numPr>
        <w:ind w:left="284" w:hanging="284"/>
        <w:jc w:val="both"/>
        <w:rPr>
          <w:rFonts w:ascii="Palatino Linotype" w:hAnsi="Palatino Linotype"/>
          <w:sz w:val="24"/>
          <w:szCs w:val="24"/>
        </w:rPr>
      </w:pPr>
      <w:r>
        <w:rPr>
          <w:rFonts w:ascii="Palatino Linotype" w:hAnsi="Palatino Linotype"/>
          <w:sz w:val="24"/>
          <w:szCs w:val="24"/>
        </w:rPr>
        <w:t>s</w:t>
      </w:r>
      <w:r w:rsidR="00AD4D8A" w:rsidRPr="00C00901">
        <w:rPr>
          <w:rFonts w:ascii="Palatino Linotype" w:hAnsi="Palatino Linotype"/>
          <w:sz w:val="24"/>
          <w:szCs w:val="24"/>
        </w:rPr>
        <w:t xml:space="preserve">entenza </w:t>
      </w:r>
      <w:r w:rsidR="003318E2" w:rsidRPr="00C00901">
        <w:rPr>
          <w:rFonts w:ascii="Palatino Linotype" w:hAnsi="Palatino Linotype"/>
          <w:sz w:val="24"/>
          <w:szCs w:val="24"/>
        </w:rPr>
        <w:t xml:space="preserve">Consiglio di Stato </w:t>
      </w:r>
      <w:r w:rsidR="002F1023" w:rsidRPr="00C00901">
        <w:rPr>
          <w:rFonts w:ascii="Palatino Linotype" w:hAnsi="Palatino Linotype"/>
          <w:sz w:val="24"/>
          <w:szCs w:val="24"/>
        </w:rPr>
        <w:t>1° agosto 2015 n. 3778</w:t>
      </w:r>
      <w:r w:rsidR="009501FE" w:rsidRPr="00C00901">
        <w:rPr>
          <w:rFonts w:ascii="Palatino Linotype" w:hAnsi="Palatino Linotype"/>
          <w:sz w:val="24"/>
          <w:szCs w:val="24"/>
        </w:rPr>
        <w:t>, c</w:t>
      </w:r>
      <w:r w:rsidR="0092416D" w:rsidRPr="00C00901">
        <w:rPr>
          <w:rFonts w:ascii="Palatino Linotype" w:hAnsi="Palatino Linotype"/>
          <w:sz w:val="24"/>
          <w:szCs w:val="24"/>
        </w:rPr>
        <w:t>he</w:t>
      </w:r>
      <w:r w:rsidR="009501FE" w:rsidRPr="00C00901">
        <w:rPr>
          <w:rFonts w:ascii="Palatino Linotype" w:hAnsi="Palatino Linotype"/>
          <w:sz w:val="24"/>
          <w:szCs w:val="24"/>
        </w:rPr>
        <w:t xml:space="preserve"> </w:t>
      </w:r>
      <w:r w:rsidR="00954874" w:rsidRPr="00C00901">
        <w:rPr>
          <w:rFonts w:ascii="Palatino Linotype" w:hAnsi="Palatino Linotype"/>
          <w:sz w:val="24"/>
          <w:szCs w:val="24"/>
        </w:rPr>
        <w:t>ritiene</w:t>
      </w:r>
      <w:r w:rsidR="009501FE" w:rsidRPr="00C00901">
        <w:rPr>
          <w:rFonts w:ascii="Palatino Linotype" w:hAnsi="Palatino Linotype"/>
          <w:sz w:val="24"/>
          <w:szCs w:val="24"/>
        </w:rPr>
        <w:t xml:space="preserve"> congruo disciplinare</w:t>
      </w:r>
      <w:r w:rsidR="003318E2" w:rsidRPr="00C00901">
        <w:rPr>
          <w:rFonts w:ascii="Palatino Linotype" w:hAnsi="Palatino Linotype"/>
          <w:sz w:val="24"/>
          <w:szCs w:val="24"/>
        </w:rPr>
        <w:t xml:space="preserve"> in senso più restrittivo, gli orari di utilizzo (di accensione e di spegnimento) dei video-giochi e slot-</w:t>
      </w:r>
      <w:r w:rsidR="003318E2" w:rsidRPr="00C00901">
        <w:rPr>
          <w:rFonts w:ascii="Palatino Linotype" w:hAnsi="Palatino Linotype"/>
          <w:sz w:val="24"/>
          <w:szCs w:val="24"/>
        </w:rPr>
        <w:lastRenderedPageBreak/>
        <w:t>machine, posti all’interno di altri esercizi commerciali e pubblici esercizi, prescindendo dagli orari di apertura di questi ultimi;</w:t>
      </w:r>
    </w:p>
    <w:p w14:paraId="404A754B" w14:textId="29FB49BA" w:rsidR="003318E2" w:rsidRDefault="00AD4D8A"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 xml:space="preserve">Sentenza </w:t>
      </w:r>
      <w:r w:rsidR="003318E2" w:rsidRPr="00C00901">
        <w:rPr>
          <w:rFonts w:ascii="Palatino Linotype" w:hAnsi="Palatino Linotype"/>
          <w:sz w:val="24"/>
          <w:szCs w:val="24"/>
        </w:rPr>
        <w:t>Co</w:t>
      </w:r>
      <w:r w:rsidR="0097695F" w:rsidRPr="00C00901">
        <w:rPr>
          <w:rFonts w:ascii="Palatino Linotype" w:hAnsi="Palatino Linotype"/>
          <w:sz w:val="24"/>
          <w:szCs w:val="24"/>
        </w:rPr>
        <w:t>nsiglio di Stato</w:t>
      </w:r>
      <w:r w:rsidR="007F257A" w:rsidRPr="00C00901">
        <w:rPr>
          <w:rFonts w:ascii="Palatino Linotype" w:hAnsi="Palatino Linotype"/>
          <w:sz w:val="24"/>
          <w:szCs w:val="24"/>
        </w:rPr>
        <w:t xml:space="preserve"> </w:t>
      </w:r>
      <w:r w:rsidR="007755C0" w:rsidRPr="00C00901">
        <w:rPr>
          <w:rFonts w:ascii="Palatino Linotype" w:hAnsi="Palatino Linotype"/>
          <w:sz w:val="24"/>
          <w:szCs w:val="24"/>
        </w:rPr>
        <w:t xml:space="preserve">20 ottobre </w:t>
      </w:r>
      <w:r w:rsidR="003318E2" w:rsidRPr="00C00901">
        <w:rPr>
          <w:rFonts w:ascii="Palatino Linotype" w:hAnsi="Palatino Linotype"/>
          <w:sz w:val="24"/>
          <w:szCs w:val="24"/>
        </w:rPr>
        <w:t>2015</w:t>
      </w:r>
      <w:r w:rsidR="0097695F" w:rsidRPr="00C00901">
        <w:rPr>
          <w:rFonts w:ascii="Palatino Linotype" w:hAnsi="Palatino Linotype"/>
          <w:sz w:val="24"/>
          <w:szCs w:val="24"/>
        </w:rPr>
        <w:t xml:space="preserve"> n. 4794, </w:t>
      </w:r>
      <w:r w:rsidR="00D03979" w:rsidRPr="00C00901">
        <w:rPr>
          <w:rFonts w:ascii="Palatino Linotype" w:hAnsi="Palatino Linotype"/>
          <w:sz w:val="24"/>
          <w:szCs w:val="24"/>
        </w:rPr>
        <w:t>che conferma</w:t>
      </w:r>
      <w:r w:rsidR="00232877" w:rsidRPr="00C00901">
        <w:rPr>
          <w:rFonts w:ascii="Palatino Linotype" w:hAnsi="Palatino Linotype"/>
          <w:sz w:val="24"/>
          <w:szCs w:val="24"/>
        </w:rPr>
        <w:t xml:space="preserve"> </w:t>
      </w:r>
      <w:r w:rsidR="003318E2" w:rsidRPr="00C00901">
        <w:rPr>
          <w:rFonts w:ascii="Palatino Linotype" w:hAnsi="Palatino Linotype"/>
          <w:sz w:val="24"/>
          <w:szCs w:val="24"/>
        </w:rPr>
        <w:t xml:space="preserve">la potestà del sindaco di stabilire con apposita ordinanza l’orario massimo di apertura delle attività inerenti </w:t>
      </w:r>
      <w:proofErr w:type="gramStart"/>
      <w:r w:rsidR="003318E2" w:rsidRPr="00C00901">
        <w:rPr>
          <w:rFonts w:ascii="Palatino Linotype" w:hAnsi="Palatino Linotype"/>
          <w:sz w:val="24"/>
          <w:szCs w:val="24"/>
        </w:rPr>
        <w:t>il</w:t>
      </w:r>
      <w:proofErr w:type="gramEnd"/>
      <w:r w:rsidR="003318E2" w:rsidRPr="00C00901">
        <w:rPr>
          <w:rFonts w:ascii="Palatino Linotype" w:hAnsi="Palatino Linotype"/>
          <w:sz w:val="24"/>
          <w:szCs w:val="24"/>
        </w:rPr>
        <w:t xml:space="preserve"> gioco d’azzardo;</w:t>
      </w:r>
    </w:p>
    <w:p w14:paraId="45226961" w14:textId="602C94DC" w:rsidR="003318E2" w:rsidRDefault="00AD4D8A"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 xml:space="preserve">Sentenza </w:t>
      </w:r>
      <w:r w:rsidR="003318E2" w:rsidRPr="00C00901">
        <w:rPr>
          <w:rFonts w:ascii="Palatino Linotype" w:hAnsi="Palatino Linotype"/>
          <w:sz w:val="24"/>
          <w:szCs w:val="24"/>
        </w:rPr>
        <w:t>Consigl</w:t>
      </w:r>
      <w:r w:rsidR="0097695F" w:rsidRPr="00C00901">
        <w:rPr>
          <w:rFonts w:ascii="Palatino Linotype" w:hAnsi="Palatino Linotype"/>
          <w:sz w:val="24"/>
          <w:szCs w:val="24"/>
        </w:rPr>
        <w:t>io di Stato</w:t>
      </w:r>
      <w:r w:rsidR="00C07018" w:rsidRPr="00C00901">
        <w:rPr>
          <w:rFonts w:ascii="Palatino Linotype" w:hAnsi="Palatino Linotype"/>
          <w:sz w:val="24"/>
          <w:szCs w:val="24"/>
        </w:rPr>
        <w:t xml:space="preserve"> </w:t>
      </w:r>
      <w:r w:rsidR="007755C0" w:rsidRPr="00C00901">
        <w:rPr>
          <w:rFonts w:ascii="Palatino Linotype" w:hAnsi="Palatino Linotype"/>
          <w:sz w:val="24"/>
          <w:szCs w:val="24"/>
        </w:rPr>
        <w:t xml:space="preserve">20 ottobre </w:t>
      </w:r>
      <w:r w:rsidR="003318E2" w:rsidRPr="00C00901">
        <w:rPr>
          <w:rFonts w:ascii="Palatino Linotype" w:hAnsi="Palatino Linotype"/>
          <w:sz w:val="24"/>
          <w:szCs w:val="24"/>
        </w:rPr>
        <w:t xml:space="preserve">2016 </w:t>
      </w:r>
      <w:r w:rsidR="0097695F" w:rsidRPr="00C00901">
        <w:rPr>
          <w:rFonts w:ascii="Palatino Linotype" w:hAnsi="Palatino Linotype"/>
          <w:sz w:val="24"/>
          <w:szCs w:val="24"/>
        </w:rPr>
        <w:t xml:space="preserve">n. 2519, </w:t>
      </w:r>
      <w:r w:rsidR="003318E2" w:rsidRPr="00C00901">
        <w:rPr>
          <w:rFonts w:ascii="Palatino Linotype" w:hAnsi="Palatino Linotype"/>
          <w:sz w:val="24"/>
          <w:szCs w:val="24"/>
        </w:rPr>
        <w:t>c</w:t>
      </w:r>
      <w:r w:rsidR="008C5185" w:rsidRPr="00C00901">
        <w:rPr>
          <w:rFonts w:ascii="Palatino Linotype" w:hAnsi="Palatino Linotype"/>
          <w:sz w:val="24"/>
          <w:szCs w:val="24"/>
        </w:rPr>
        <w:t xml:space="preserve">he </w:t>
      </w:r>
      <w:r w:rsidR="003318E2" w:rsidRPr="00C00901">
        <w:rPr>
          <w:rFonts w:ascii="Palatino Linotype" w:hAnsi="Palatino Linotype"/>
          <w:sz w:val="24"/>
          <w:szCs w:val="24"/>
        </w:rPr>
        <w:t xml:space="preserve">afferma che la riduzione degli orari di apertura delle sale pubbliche da gioco è solo una delle molteplici misure che le autorità pubbliche possono mettere in campo per combattere il fenomeno della ludopatia; </w:t>
      </w:r>
    </w:p>
    <w:p w14:paraId="57D9BD7C" w14:textId="268272BF" w:rsidR="003318E2" w:rsidRDefault="00AD4D8A"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 xml:space="preserve">Sentenza </w:t>
      </w:r>
      <w:r w:rsidR="0097695F" w:rsidRPr="00C00901">
        <w:rPr>
          <w:rFonts w:ascii="Palatino Linotype" w:hAnsi="Palatino Linotype"/>
          <w:sz w:val="24"/>
          <w:szCs w:val="24"/>
        </w:rPr>
        <w:t>Corte Costituzionale</w:t>
      </w:r>
      <w:r w:rsidR="00845DE7" w:rsidRPr="00C00901">
        <w:rPr>
          <w:rFonts w:ascii="Palatino Linotype" w:hAnsi="Palatino Linotype"/>
          <w:sz w:val="24"/>
          <w:szCs w:val="24"/>
        </w:rPr>
        <w:t xml:space="preserve"> </w:t>
      </w:r>
      <w:r w:rsidR="0097695F" w:rsidRPr="00C00901">
        <w:rPr>
          <w:rFonts w:ascii="Palatino Linotype" w:hAnsi="Palatino Linotype"/>
          <w:sz w:val="24"/>
          <w:szCs w:val="24"/>
        </w:rPr>
        <w:t>18 luglio</w:t>
      </w:r>
      <w:r w:rsidR="00B625A1" w:rsidRPr="00C00901">
        <w:rPr>
          <w:rFonts w:ascii="Palatino Linotype" w:hAnsi="Palatino Linotype"/>
          <w:sz w:val="24"/>
          <w:szCs w:val="24"/>
        </w:rPr>
        <w:t xml:space="preserve"> </w:t>
      </w:r>
      <w:r w:rsidR="003318E2" w:rsidRPr="00C00901">
        <w:rPr>
          <w:rFonts w:ascii="Palatino Linotype" w:hAnsi="Palatino Linotype"/>
          <w:sz w:val="24"/>
          <w:szCs w:val="24"/>
        </w:rPr>
        <w:t>2014</w:t>
      </w:r>
      <w:r w:rsidR="0097695F" w:rsidRPr="00C00901">
        <w:rPr>
          <w:rFonts w:ascii="Palatino Linotype" w:hAnsi="Palatino Linotype"/>
          <w:sz w:val="24"/>
          <w:szCs w:val="24"/>
        </w:rPr>
        <w:t xml:space="preserve"> n. 220</w:t>
      </w:r>
      <w:r w:rsidR="003318E2" w:rsidRPr="00C00901">
        <w:rPr>
          <w:rFonts w:ascii="Palatino Linotype" w:hAnsi="Palatino Linotype"/>
          <w:sz w:val="24"/>
          <w:szCs w:val="24"/>
        </w:rPr>
        <w:t xml:space="preserve"> c</w:t>
      </w:r>
      <w:r w:rsidR="00B625A1" w:rsidRPr="00C00901">
        <w:rPr>
          <w:rFonts w:ascii="Palatino Linotype" w:hAnsi="Palatino Linotype"/>
          <w:sz w:val="24"/>
          <w:szCs w:val="24"/>
        </w:rPr>
        <w:t>he ritiene</w:t>
      </w:r>
      <w:r w:rsidR="003318E2" w:rsidRPr="00C00901">
        <w:rPr>
          <w:rFonts w:ascii="Palatino Linotype" w:hAnsi="Palatino Linotype"/>
          <w:sz w:val="24"/>
          <w:szCs w:val="24"/>
        </w:rPr>
        <w:t xml:space="preserve"> plausibile l'interpretazione giurisprudenziale sopra richiamata affermando che: "è stato riconosciuto che, in forza della generale previsione dell'articolo 50, comma 7,</w:t>
      </w:r>
      <w:r w:rsidR="003318E2" w:rsidRPr="00C00901">
        <w:rPr>
          <w:rFonts w:ascii="Palatino Linotype" w:hAnsi="Palatino Linotype"/>
          <w:color w:val="000000" w:themeColor="text1"/>
          <w:sz w:val="24"/>
          <w:szCs w:val="24"/>
        </w:rPr>
        <w:t xml:space="preserve"> del Decreto Legislativo n. 267/2000, il Sindaco può disciplinare gli orari delle sale </w:t>
      </w:r>
      <w:r w:rsidR="003318E2" w:rsidRPr="00C00901">
        <w:rPr>
          <w:rFonts w:ascii="Palatino Linotype" w:hAnsi="Palatino Linotype"/>
          <w:sz w:val="24"/>
          <w:szCs w:val="24"/>
        </w:rPr>
        <w:t xml:space="preserve">giochi e degli esercizi nei quali siano installate apparecchiature per il gioco e che ciò può fare per esigenze di tutela della salute, della quiete pubblica, ovvero della circolazione stradale"; </w:t>
      </w:r>
    </w:p>
    <w:p w14:paraId="204A7B67" w14:textId="77777777" w:rsidR="00C00901" w:rsidRDefault="00C50689"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S</w:t>
      </w:r>
      <w:r w:rsidR="00AD4D8A" w:rsidRPr="00C00901">
        <w:rPr>
          <w:rFonts w:ascii="Palatino Linotype" w:hAnsi="Palatino Linotype"/>
          <w:sz w:val="24"/>
          <w:szCs w:val="24"/>
        </w:rPr>
        <w:t xml:space="preserve">entenza </w:t>
      </w:r>
      <w:r w:rsidR="003318E2" w:rsidRPr="00C00901">
        <w:rPr>
          <w:rFonts w:ascii="Palatino Linotype" w:hAnsi="Palatino Linotype"/>
          <w:sz w:val="24"/>
          <w:szCs w:val="24"/>
        </w:rPr>
        <w:t>T.A.R. Venet</w:t>
      </w:r>
      <w:r w:rsidR="001C317D" w:rsidRPr="00C00901">
        <w:rPr>
          <w:rFonts w:ascii="Palatino Linotype" w:hAnsi="Palatino Linotype"/>
          <w:sz w:val="24"/>
          <w:szCs w:val="24"/>
        </w:rPr>
        <w:t>o 20 settembre 2001 n. 2721</w:t>
      </w:r>
      <w:r w:rsidR="003318E2" w:rsidRPr="00C00901">
        <w:rPr>
          <w:rFonts w:ascii="Palatino Linotype" w:hAnsi="Palatino Linotype"/>
          <w:sz w:val="24"/>
          <w:szCs w:val="24"/>
        </w:rPr>
        <w:t xml:space="preserve">– sez. I, </w:t>
      </w:r>
      <w:r w:rsidR="00B625A1" w:rsidRPr="00C00901">
        <w:rPr>
          <w:rFonts w:ascii="Palatino Linotype" w:hAnsi="Palatino Linotype"/>
          <w:sz w:val="24"/>
          <w:szCs w:val="24"/>
        </w:rPr>
        <w:t>ch</w:t>
      </w:r>
      <w:r w:rsidR="00F83D1C" w:rsidRPr="00C00901">
        <w:rPr>
          <w:rFonts w:ascii="Palatino Linotype" w:hAnsi="Palatino Linotype"/>
          <w:sz w:val="24"/>
          <w:szCs w:val="24"/>
        </w:rPr>
        <w:t xml:space="preserve">e </w:t>
      </w:r>
      <w:r w:rsidR="003318E2" w:rsidRPr="00C00901">
        <w:rPr>
          <w:rFonts w:ascii="Palatino Linotype" w:hAnsi="Palatino Linotype"/>
          <w:sz w:val="24"/>
          <w:szCs w:val="24"/>
        </w:rPr>
        <w:t>evidenzia che in presenza di una congrua motivazion</w:t>
      </w:r>
      <w:r w:rsidR="008D078B" w:rsidRPr="00C00901">
        <w:rPr>
          <w:rFonts w:ascii="Palatino Linotype" w:hAnsi="Palatino Linotype"/>
          <w:sz w:val="24"/>
          <w:szCs w:val="24"/>
        </w:rPr>
        <w:t>e, deve essere riconosciuto al S</w:t>
      </w:r>
      <w:r w:rsidR="003318E2" w:rsidRPr="00C00901">
        <w:rPr>
          <w:rFonts w:ascii="Palatino Linotype" w:hAnsi="Palatino Linotype"/>
          <w:sz w:val="24"/>
          <w:szCs w:val="24"/>
        </w:rPr>
        <w:t>indaco il potere di imporre prescrizioni idonee a disciplinare l’uso dei videogiochi ed altri simili trattamenti in locali pubblici ai minori di anni 18 nel periodo scolastico e durante l’orario delle lezioni;</w:t>
      </w:r>
    </w:p>
    <w:p w14:paraId="49A3E391" w14:textId="77777777" w:rsidR="00C00901" w:rsidRDefault="00C50689"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S</w:t>
      </w:r>
      <w:r w:rsidR="00510C1F" w:rsidRPr="00C00901">
        <w:rPr>
          <w:rFonts w:ascii="Palatino Linotype" w:hAnsi="Palatino Linotype"/>
          <w:sz w:val="24"/>
          <w:szCs w:val="24"/>
        </w:rPr>
        <w:t>entenz</w:t>
      </w:r>
      <w:r w:rsidR="000B0BB2" w:rsidRPr="00C00901">
        <w:rPr>
          <w:rFonts w:ascii="Palatino Linotype" w:hAnsi="Palatino Linotype"/>
          <w:sz w:val="24"/>
          <w:szCs w:val="24"/>
        </w:rPr>
        <w:t>e</w:t>
      </w:r>
      <w:r w:rsidR="00510C1F" w:rsidRPr="00C00901">
        <w:rPr>
          <w:rFonts w:ascii="Palatino Linotype" w:hAnsi="Palatino Linotype"/>
          <w:sz w:val="24"/>
          <w:szCs w:val="24"/>
        </w:rPr>
        <w:t xml:space="preserve"> </w:t>
      </w:r>
      <w:r w:rsidR="003318E2" w:rsidRPr="00C00901">
        <w:rPr>
          <w:rFonts w:ascii="Palatino Linotype" w:hAnsi="Palatino Linotype"/>
          <w:sz w:val="24"/>
          <w:szCs w:val="24"/>
        </w:rPr>
        <w:t xml:space="preserve">T.A.R. Veneto n. 114/2016, n. 119/2016, n. 753/2015 e n.  811/2015 che </w:t>
      </w:r>
      <w:r w:rsidR="0028660C" w:rsidRPr="00C00901">
        <w:rPr>
          <w:rFonts w:ascii="Palatino Linotype" w:hAnsi="Palatino Linotype"/>
          <w:sz w:val="24"/>
          <w:szCs w:val="24"/>
        </w:rPr>
        <w:t>ritengono</w:t>
      </w:r>
      <w:r w:rsidR="003318E2" w:rsidRPr="00C00901">
        <w:rPr>
          <w:rFonts w:ascii="Palatino Linotype" w:hAnsi="Palatino Linotype"/>
          <w:sz w:val="24"/>
          <w:szCs w:val="24"/>
        </w:rPr>
        <w:t xml:space="preserve"> legittimi i regolamenti o le ordinanze che hanno limitato a otto ore giornaliere l’apertura delle sale scommesse o da gioco;</w:t>
      </w:r>
    </w:p>
    <w:p w14:paraId="6C07DC47" w14:textId="77777777" w:rsidR="00C00901" w:rsidRPr="00C00901" w:rsidRDefault="00510C1F"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color w:val="000000" w:themeColor="text1"/>
          <w:sz w:val="24"/>
          <w:szCs w:val="24"/>
        </w:rPr>
        <w:t xml:space="preserve">Sentenza </w:t>
      </w:r>
      <w:r w:rsidR="003318E2" w:rsidRPr="00C00901">
        <w:rPr>
          <w:rFonts w:ascii="Palatino Linotype" w:hAnsi="Palatino Linotype"/>
          <w:color w:val="000000" w:themeColor="text1"/>
          <w:sz w:val="24"/>
          <w:szCs w:val="24"/>
        </w:rPr>
        <w:t>T.A.R. Vene</w:t>
      </w:r>
      <w:r w:rsidR="0082250E" w:rsidRPr="00C00901">
        <w:rPr>
          <w:rFonts w:ascii="Palatino Linotype" w:hAnsi="Palatino Linotype"/>
          <w:color w:val="000000" w:themeColor="text1"/>
          <w:sz w:val="24"/>
          <w:szCs w:val="24"/>
        </w:rPr>
        <w:t>to</w:t>
      </w:r>
      <w:r w:rsidR="00123DEB" w:rsidRPr="00C00901">
        <w:rPr>
          <w:rFonts w:ascii="Palatino Linotype" w:hAnsi="Palatino Linotype"/>
          <w:color w:val="000000" w:themeColor="text1"/>
          <w:sz w:val="24"/>
          <w:szCs w:val="24"/>
        </w:rPr>
        <w:t xml:space="preserve"> 26 gennaio 2017 </w:t>
      </w:r>
      <w:r w:rsidR="0082250E" w:rsidRPr="00C00901">
        <w:rPr>
          <w:rFonts w:ascii="Palatino Linotype" w:hAnsi="Palatino Linotype"/>
          <w:color w:val="000000" w:themeColor="text1"/>
          <w:sz w:val="24"/>
          <w:szCs w:val="24"/>
        </w:rPr>
        <w:t xml:space="preserve">n. 130 </w:t>
      </w:r>
      <w:r w:rsidR="003318E2" w:rsidRPr="00C00901">
        <w:rPr>
          <w:rFonts w:ascii="Palatino Linotype" w:hAnsi="Palatino Linotype"/>
          <w:color w:val="000000" w:themeColor="text1"/>
          <w:sz w:val="24"/>
          <w:szCs w:val="24"/>
        </w:rPr>
        <w:t>sez. III, che considera proporzionata, rispetto agli obiettivi perseguiti di prevenzione, contrasto e riduzione del gioco d’azzardo patologico, la disciplina limitativa degli orari di apertura dei pubblici esercizi in cui si svolgono attività di gioco o scommessa, che consente un’apertura giornaliera pari a otto ore;</w:t>
      </w:r>
    </w:p>
    <w:p w14:paraId="4FD09F5C" w14:textId="77777777" w:rsidR="00C00901" w:rsidRPr="00C00901" w:rsidRDefault="00510C1F"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color w:val="000000" w:themeColor="text1"/>
          <w:sz w:val="24"/>
          <w:szCs w:val="24"/>
        </w:rPr>
        <w:t xml:space="preserve">Sentenza </w:t>
      </w:r>
      <w:r w:rsidR="00555E74" w:rsidRPr="00C00901">
        <w:rPr>
          <w:rFonts w:ascii="Palatino Linotype" w:hAnsi="Palatino Linotype"/>
          <w:color w:val="000000" w:themeColor="text1"/>
          <w:sz w:val="24"/>
          <w:szCs w:val="24"/>
        </w:rPr>
        <w:t>T.A.R. Veneto</w:t>
      </w:r>
      <w:r w:rsidR="003318E2" w:rsidRPr="00C00901">
        <w:rPr>
          <w:rFonts w:ascii="Palatino Linotype" w:hAnsi="Palatino Linotype"/>
          <w:color w:val="000000" w:themeColor="text1"/>
          <w:sz w:val="24"/>
          <w:szCs w:val="24"/>
        </w:rPr>
        <w:t xml:space="preserve"> 3 maggio 2017</w:t>
      </w:r>
      <w:r w:rsidR="00555E74" w:rsidRPr="00C00901">
        <w:rPr>
          <w:rFonts w:ascii="Palatino Linotype" w:hAnsi="Palatino Linotype"/>
          <w:color w:val="000000" w:themeColor="text1"/>
          <w:sz w:val="24"/>
          <w:szCs w:val="24"/>
        </w:rPr>
        <w:t xml:space="preserve"> n. 434,</w:t>
      </w:r>
      <w:r w:rsidR="003318E2" w:rsidRPr="00C00901">
        <w:rPr>
          <w:rFonts w:ascii="Palatino Linotype" w:hAnsi="Palatino Linotype"/>
          <w:color w:val="000000" w:themeColor="text1"/>
          <w:sz w:val="24"/>
          <w:szCs w:val="24"/>
        </w:rPr>
        <w:t xml:space="preserve"> che considera proporzionata, rispetto agli obiettivi perseguiti di prevenzione, contrasto e riduzione del gioco d’azzardo patologico, la disciplina limitativa degli orari di apertura dei pubblici esercizi in cui si svolgono attività di gioco o scommessa, che consente un’apertura giornaliera pari a quattordici ore giornaliere consecutive;</w:t>
      </w:r>
    </w:p>
    <w:p w14:paraId="4BF9E7E9" w14:textId="77777777" w:rsidR="00C00901" w:rsidRDefault="00510C1F"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 xml:space="preserve">Sentenza </w:t>
      </w:r>
      <w:r w:rsidR="00555E74" w:rsidRPr="00C00901">
        <w:rPr>
          <w:rFonts w:ascii="Palatino Linotype" w:hAnsi="Palatino Linotype"/>
          <w:sz w:val="24"/>
          <w:szCs w:val="24"/>
        </w:rPr>
        <w:t xml:space="preserve">T.A.R. Veneto </w:t>
      </w:r>
      <w:r w:rsidR="00123DEB" w:rsidRPr="00C00901">
        <w:rPr>
          <w:rFonts w:ascii="Palatino Linotype" w:hAnsi="Palatino Linotype"/>
          <w:sz w:val="24"/>
          <w:szCs w:val="24"/>
        </w:rPr>
        <w:t>4 giugno 2018</w:t>
      </w:r>
      <w:r w:rsidR="00555E74" w:rsidRPr="00C00901">
        <w:rPr>
          <w:rFonts w:ascii="Palatino Linotype" w:hAnsi="Palatino Linotype"/>
          <w:sz w:val="24"/>
          <w:szCs w:val="24"/>
        </w:rPr>
        <w:t xml:space="preserve"> n. 598 che considera proporzionata l’apertura delle sale giochi dalle 8 alle 22 in quanto “la riduzione dell’orario di apertura è solo una delle molteplici misure che le autorità pubbliche possono mettere in campo per combattere il fenomeno della ludopatia che ha radici complesse e rispetto al quale non esistono soluzioni di sicura efficacia”;</w:t>
      </w:r>
    </w:p>
    <w:p w14:paraId="37FD64A6" w14:textId="7F8406AB" w:rsidR="0051757E" w:rsidRDefault="0051757E" w:rsidP="00C00901">
      <w:pPr>
        <w:pStyle w:val="Paragrafoelenco"/>
        <w:numPr>
          <w:ilvl w:val="0"/>
          <w:numId w:val="15"/>
        </w:numPr>
        <w:ind w:left="284" w:hanging="284"/>
        <w:jc w:val="both"/>
        <w:rPr>
          <w:rFonts w:ascii="Palatino Linotype" w:hAnsi="Palatino Linotype"/>
          <w:sz w:val="24"/>
          <w:szCs w:val="24"/>
        </w:rPr>
      </w:pPr>
      <w:r w:rsidRPr="00C00901">
        <w:rPr>
          <w:rFonts w:ascii="Palatino Linotype" w:hAnsi="Palatino Linotype"/>
          <w:sz w:val="24"/>
          <w:szCs w:val="24"/>
        </w:rPr>
        <w:t>Sentenza Consiglio di Stato 25 giugno 2020 n. 4464</w:t>
      </w:r>
      <w:r w:rsidR="000F6232" w:rsidRPr="00C00901">
        <w:rPr>
          <w:rFonts w:ascii="Palatino Linotype" w:hAnsi="Palatino Linotype"/>
          <w:sz w:val="24"/>
          <w:szCs w:val="24"/>
        </w:rPr>
        <w:t xml:space="preserve"> c</w:t>
      </w:r>
      <w:r w:rsidR="004E4E50" w:rsidRPr="00C00901">
        <w:rPr>
          <w:rFonts w:ascii="Palatino Linotype" w:hAnsi="Palatino Linotype"/>
          <w:sz w:val="24"/>
          <w:szCs w:val="24"/>
        </w:rPr>
        <w:t>he accoglie</w:t>
      </w:r>
      <w:r w:rsidR="000F6232" w:rsidRPr="00C00901">
        <w:rPr>
          <w:rFonts w:ascii="Palatino Linotype" w:hAnsi="Palatino Linotype"/>
          <w:sz w:val="24"/>
          <w:szCs w:val="24"/>
        </w:rPr>
        <w:t xml:space="preserve"> il ricorso proposto dal Comune di Belluno e </w:t>
      </w:r>
      <w:r w:rsidR="004E4E50" w:rsidRPr="00C00901">
        <w:rPr>
          <w:rFonts w:ascii="Palatino Linotype" w:hAnsi="Palatino Linotype"/>
          <w:sz w:val="24"/>
          <w:szCs w:val="24"/>
        </w:rPr>
        <w:t>riforma</w:t>
      </w:r>
      <w:r w:rsidR="000F6232" w:rsidRPr="00C00901">
        <w:rPr>
          <w:rFonts w:ascii="Palatino Linotype" w:hAnsi="Palatino Linotype"/>
          <w:sz w:val="24"/>
          <w:szCs w:val="24"/>
        </w:rPr>
        <w:t xml:space="preserve"> la sentenza TAR Veneto n. 448/2019</w:t>
      </w:r>
      <w:r w:rsidR="003E7BE2" w:rsidRPr="00C00901">
        <w:rPr>
          <w:rFonts w:ascii="Palatino Linotype" w:hAnsi="Palatino Linotype"/>
          <w:sz w:val="24"/>
          <w:szCs w:val="24"/>
        </w:rPr>
        <w:t xml:space="preserve"> che </w:t>
      </w:r>
      <w:r w:rsidR="0045666B" w:rsidRPr="00C00901">
        <w:rPr>
          <w:rFonts w:ascii="Palatino Linotype" w:hAnsi="Palatino Linotype"/>
          <w:sz w:val="24"/>
          <w:szCs w:val="24"/>
        </w:rPr>
        <w:t>aveva considerato</w:t>
      </w:r>
      <w:r w:rsidR="003E7BE2" w:rsidRPr="00C00901">
        <w:rPr>
          <w:rFonts w:ascii="Palatino Linotype" w:hAnsi="Palatino Linotype"/>
          <w:sz w:val="24"/>
          <w:szCs w:val="24"/>
        </w:rPr>
        <w:t xml:space="preserve"> la norma del regolamento comunale, che annoverava lo sportello bancomat tra i luoghi sensibili al fine delle distanze dalle sale da gioco</w:t>
      </w:r>
      <w:r w:rsidR="0045666B" w:rsidRPr="00C00901">
        <w:rPr>
          <w:rFonts w:ascii="Palatino Linotype" w:hAnsi="Palatino Linotype"/>
          <w:sz w:val="24"/>
          <w:szCs w:val="24"/>
        </w:rPr>
        <w:t>,</w:t>
      </w:r>
      <w:r w:rsidR="003E7BE2" w:rsidRPr="00C00901">
        <w:rPr>
          <w:rFonts w:ascii="Palatino Linotype" w:hAnsi="Palatino Linotype"/>
          <w:sz w:val="24"/>
          <w:szCs w:val="24"/>
        </w:rPr>
        <w:t xml:space="preserve"> contraria all’art. 41 Cost. e pertanto lesiva dell’iniziativa economica privata;</w:t>
      </w:r>
    </w:p>
    <w:p w14:paraId="0700CEA0" w14:textId="77777777" w:rsidR="005C4818" w:rsidRPr="00C00901" w:rsidRDefault="005C4818" w:rsidP="00C00901">
      <w:pPr>
        <w:pStyle w:val="Paragrafoelenco"/>
        <w:numPr>
          <w:ilvl w:val="0"/>
          <w:numId w:val="15"/>
        </w:numPr>
        <w:ind w:left="284" w:hanging="284"/>
        <w:jc w:val="both"/>
        <w:rPr>
          <w:rFonts w:ascii="Palatino Linotype" w:hAnsi="Palatino Linotype"/>
          <w:sz w:val="24"/>
          <w:szCs w:val="24"/>
        </w:rPr>
      </w:pPr>
    </w:p>
    <w:p w14:paraId="1052400D" w14:textId="77777777" w:rsidR="007F238D" w:rsidRPr="00C03BF2" w:rsidRDefault="007F238D" w:rsidP="002B7FAB">
      <w:pPr>
        <w:pStyle w:val="Paragrafoelenco"/>
        <w:jc w:val="both"/>
        <w:rPr>
          <w:rFonts w:ascii="Palatino Linotype" w:hAnsi="Palatino Linotype"/>
          <w:sz w:val="24"/>
          <w:szCs w:val="24"/>
        </w:rPr>
      </w:pPr>
    </w:p>
    <w:p w14:paraId="3E6FDA0F" w14:textId="32877A3C" w:rsidR="001301F3" w:rsidRPr="002E7403" w:rsidRDefault="00E72667" w:rsidP="002E7403">
      <w:pPr>
        <w:autoSpaceDE w:val="0"/>
        <w:autoSpaceDN w:val="0"/>
        <w:adjustRightInd w:val="0"/>
        <w:ind w:left="28" w:firstLine="0"/>
        <w:jc w:val="both"/>
        <w:rPr>
          <w:rFonts w:ascii="Palatino Linotype" w:hAnsi="Palatino Linotype"/>
          <w:b/>
          <w:color w:val="000000"/>
          <w:sz w:val="24"/>
          <w:szCs w:val="24"/>
        </w:rPr>
      </w:pPr>
      <w:r w:rsidRPr="002E7403">
        <w:rPr>
          <w:rFonts w:ascii="Palatino Linotype" w:hAnsi="Palatino Linotype"/>
          <w:b/>
          <w:color w:val="000000"/>
          <w:sz w:val="24"/>
          <w:szCs w:val="24"/>
        </w:rPr>
        <w:lastRenderedPageBreak/>
        <w:t>RITENUTO</w:t>
      </w:r>
      <w:r w:rsidR="00E45409" w:rsidRPr="002E7403">
        <w:rPr>
          <w:rFonts w:ascii="Palatino Linotype" w:hAnsi="Palatino Linotype"/>
          <w:b/>
          <w:color w:val="000000"/>
          <w:sz w:val="24"/>
          <w:szCs w:val="24"/>
        </w:rPr>
        <w:t xml:space="preserve"> </w:t>
      </w:r>
    </w:p>
    <w:p w14:paraId="640D5926" w14:textId="0D984AEB" w:rsidR="001301F3" w:rsidRDefault="002D4DE0" w:rsidP="002E7403">
      <w:pPr>
        <w:pStyle w:val="Paragrafoelenco"/>
        <w:numPr>
          <w:ilvl w:val="0"/>
          <w:numId w:val="2"/>
        </w:numPr>
        <w:ind w:left="284"/>
        <w:jc w:val="both"/>
        <w:rPr>
          <w:rFonts w:ascii="Palatino Linotype" w:hAnsi="Palatino Linotype"/>
          <w:sz w:val="24"/>
          <w:szCs w:val="24"/>
        </w:rPr>
      </w:pPr>
      <w:r w:rsidRPr="00C03BF2">
        <w:rPr>
          <w:rFonts w:ascii="Palatino Linotype" w:hAnsi="Palatino Linotype"/>
          <w:sz w:val="24"/>
          <w:szCs w:val="24"/>
        </w:rPr>
        <w:t xml:space="preserve">alla luce del panorama </w:t>
      </w:r>
      <w:r w:rsidR="002B7317" w:rsidRPr="00C03BF2">
        <w:rPr>
          <w:rFonts w:ascii="Palatino Linotype" w:hAnsi="Palatino Linotype"/>
          <w:sz w:val="24"/>
          <w:szCs w:val="24"/>
        </w:rPr>
        <w:t xml:space="preserve">normativo e </w:t>
      </w:r>
      <w:r w:rsidRPr="00C03BF2">
        <w:rPr>
          <w:rFonts w:ascii="Palatino Linotype" w:hAnsi="Palatino Linotype"/>
          <w:sz w:val="24"/>
          <w:szCs w:val="24"/>
        </w:rPr>
        <w:t>giurisprudenziale sopra richiamato, che</w:t>
      </w:r>
      <w:r w:rsidR="001301F3" w:rsidRPr="00C03BF2">
        <w:rPr>
          <w:rFonts w:ascii="Palatino Linotype" w:hAnsi="Palatino Linotype"/>
          <w:sz w:val="24"/>
          <w:szCs w:val="24"/>
        </w:rPr>
        <w:t xml:space="preserve"> il potere </w:t>
      </w:r>
      <w:r w:rsidR="00010F31" w:rsidRPr="00C03BF2">
        <w:rPr>
          <w:rFonts w:ascii="Palatino Linotype" w:hAnsi="Palatino Linotype"/>
          <w:sz w:val="24"/>
          <w:szCs w:val="24"/>
        </w:rPr>
        <w:t xml:space="preserve">dei Comuni </w:t>
      </w:r>
      <w:r w:rsidR="001301F3" w:rsidRPr="00C03BF2">
        <w:rPr>
          <w:rFonts w:ascii="Palatino Linotype" w:hAnsi="Palatino Linotype"/>
          <w:sz w:val="24"/>
          <w:szCs w:val="24"/>
        </w:rPr>
        <w:t xml:space="preserve">di disciplinare </w:t>
      </w:r>
      <w:r w:rsidR="00224E06" w:rsidRPr="00C03BF2">
        <w:rPr>
          <w:rFonts w:ascii="Palatino Linotype" w:hAnsi="Palatino Linotype"/>
          <w:sz w:val="24"/>
          <w:szCs w:val="24"/>
        </w:rPr>
        <w:t xml:space="preserve">il </w:t>
      </w:r>
      <w:r w:rsidR="00010F31" w:rsidRPr="00C03BF2">
        <w:rPr>
          <w:rFonts w:ascii="Palatino Linotype" w:hAnsi="Palatino Linotype"/>
          <w:sz w:val="24"/>
          <w:szCs w:val="24"/>
        </w:rPr>
        <w:t>gioco d’azzardo</w:t>
      </w:r>
      <w:r w:rsidRPr="00C03BF2">
        <w:rPr>
          <w:rFonts w:ascii="Palatino Linotype" w:hAnsi="Palatino Linotype"/>
          <w:sz w:val="24"/>
          <w:szCs w:val="24"/>
        </w:rPr>
        <w:t xml:space="preserve"> non trovi</w:t>
      </w:r>
      <w:r w:rsidR="001301F3" w:rsidRPr="00C03BF2">
        <w:rPr>
          <w:rFonts w:ascii="Palatino Linotype" w:hAnsi="Palatino Linotype"/>
          <w:sz w:val="24"/>
          <w:szCs w:val="24"/>
        </w:rPr>
        <w:t xml:space="preserve"> ostacolo nel recente processo di liberalizzazione dell’iniziativa economica in quanto la stessa legislazione che lo asseconda</w:t>
      </w:r>
      <w:r w:rsidR="00224E06" w:rsidRPr="00C03BF2">
        <w:rPr>
          <w:rFonts w:ascii="Palatino Linotype" w:hAnsi="Palatino Linotype"/>
          <w:sz w:val="24"/>
          <w:szCs w:val="24"/>
        </w:rPr>
        <w:t>,</w:t>
      </w:r>
      <w:r w:rsidR="001301F3" w:rsidRPr="00C03BF2">
        <w:rPr>
          <w:rFonts w:ascii="Palatino Linotype" w:hAnsi="Palatino Linotype"/>
          <w:sz w:val="24"/>
          <w:szCs w:val="24"/>
        </w:rPr>
        <w:t xml:space="preserve"> si preoccupa di far comunque salva la tutela della salute</w:t>
      </w:r>
      <w:r w:rsidR="000D2526" w:rsidRPr="00C03BF2">
        <w:rPr>
          <w:rFonts w:ascii="Palatino Linotype" w:hAnsi="Palatino Linotype"/>
          <w:sz w:val="24"/>
          <w:szCs w:val="24"/>
        </w:rPr>
        <w:t xml:space="preserve"> e</w:t>
      </w:r>
      <w:r w:rsidR="001301F3" w:rsidRPr="00C03BF2">
        <w:rPr>
          <w:rFonts w:ascii="Palatino Linotype" w:hAnsi="Palatino Linotype"/>
          <w:sz w:val="24"/>
          <w:szCs w:val="24"/>
        </w:rPr>
        <w:t xml:space="preserve"> dell'ambiente</w:t>
      </w:r>
      <w:r w:rsidR="000D2526" w:rsidRPr="00C03BF2">
        <w:rPr>
          <w:rFonts w:ascii="Palatino Linotype" w:hAnsi="Palatino Linotype"/>
          <w:sz w:val="24"/>
          <w:szCs w:val="24"/>
        </w:rPr>
        <w:t>,</w:t>
      </w:r>
      <w:r w:rsidR="001301F3" w:rsidRPr="00C03BF2">
        <w:rPr>
          <w:rFonts w:ascii="Palatino Linotype" w:hAnsi="Palatino Linotype"/>
          <w:sz w:val="24"/>
          <w:szCs w:val="24"/>
        </w:rPr>
        <w:t xml:space="preserve"> ivi incluso quello urbano,</w:t>
      </w:r>
      <w:r w:rsidRPr="00C03BF2">
        <w:rPr>
          <w:rFonts w:ascii="Palatino Linotype" w:hAnsi="Palatino Linotype"/>
          <w:sz w:val="24"/>
          <w:szCs w:val="24"/>
        </w:rPr>
        <w:t xml:space="preserve"> della sicurezza, della libertà e </w:t>
      </w:r>
      <w:r w:rsidR="001301F3" w:rsidRPr="00C03BF2">
        <w:rPr>
          <w:rFonts w:ascii="Palatino Linotype" w:hAnsi="Palatino Linotype"/>
          <w:sz w:val="24"/>
          <w:szCs w:val="24"/>
        </w:rPr>
        <w:t>della dignità umana, beni che la ludopatia mette in grave pericolo;</w:t>
      </w:r>
    </w:p>
    <w:p w14:paraId="6F21EFA0" w14:textId="5498C457" w:rsidR="000A27BF" w:rsidRPr="002E7403" w:rsidRDefault="000A27BF" w:rsidP="002E7403">
      <w:pPr>
        <w:pStyle w:val="Paragrafoelenco"/>
        <w:numPr>
          <w:ilvl w:val="0"/>
          <w:numId w:val="2"/>
        </w:numPr>
        <w:ind w:left="284"/>
        <w:jc w:val="both"/>
        <w:rPr>
          <w:rFonts w:ascii="Palatino Linotype" w:hAnsi="Palatino Linotype"/>
          <w:sz w:val="24"/>
          <w:szCs w:val="24"/>
        </w:rPr>
      </w:pPr>
      <w:r w:rsidRPr="002E7403">
        <w:rPr>
          <w:rFonts w:ascii="Palatino Linotype" w:hAnsi="Palatino Linotype"/>
          <w:sz w:val="24"/>
          <w:szCs w:val="24"/>
        </w:rPr>
        <w:t>che, nell’ipotesi di specie, anche a livello comunitario</w:t>
      </w:r>
      <w:r w:rsidR="00C91BCE" w:rsidRPr="002E7403">
        <w:rPr>
          <w:rFonts w:ascii="Palatino Linotype" w:hAnsi="Palatino Linotype"/>
          <w:sz w:val="24"/>
          <w:szCs w:val="24"/>
        </w:rPr>
        <w:t>,</w:t>
      </w:r>
      <w:r w:rsidRPr="002E7403">
        <w:rPr>
          <w:rFonts w:ascii="Palatino Linotype" w:hAnsi="Palatino Linotype"/>
          <w:sz w:val="24"/>
          <w:szCs w:val="24"/>
        </w:rPr>
        <w:t xml:space="preserve"> le esigenze di tutela della salute vengono considerat</w:t>
      </w:r>
      <w:r w:rsidR="005E487B" w:rsidRPr="002E7403">
        <w:rPr>
          <w:rFonts w:ascii="Palatino Linotype" w:hAnsi="Palatino Linotype"/>
          <w:sz w:val="24"/>
          <w:szCs w:val="24"/>
        </w:rPr>
        <w:t>e del tutto prevalenti rispetto</w:t>
      </w:r>
      <w:r w:rsidRPr="002E7403">
        <w:rPr>
          <w:rFonts w:ascii="Palatino Linotype" w:hAnsi="Palatino Linotype"/>
          <w:sz w:val="24"/>
          <w:szCs w:val="24"/>
        </w:rPr>
        <w:t xml:space="preserve"> a quelle economiche delle società che gestiscono il gioco d’azzardo, come si evince dall</w:t>
      </w:r>
      <w:r w:rsidR="00C91BCE" w:rsidRPr="002E7403">
        <w:rPr>
          <w:rFonts w:ascii="Palatino Linotype" w:hAnsi="Palatino Linotype"/>
          <w:sz w:val="24"/>
          <w:szCs w:val="24"/>
        </w:rPr>
        <w:t>e</w:t>
      </w:r>
      <w:r w:rsidRPr="002E7403">
        <w:rPr>
          <w:rFonts w:ascii="Palatino Linotype" w:hAnsi="Palatino Linotype"/>
          <w:sz w:val="24"/>
          <w:szCs w:val="24"/>
        </w:rPr>
        <w:t xml:space="preserve"> sentenz</w:t>
      </w:r>
      <w:r w:rsidR="00C91BCE" w:rsidRPr="002E7403">
        <w:rPr>
          <w:rFonts w:ascii="Palatino Linotype" w:hAnsi="Palatino Linotype"/>
          <w:sz w:val="24"/>
          <w:szCs w:val="24"/>
        </w:rPr>
        <w:t>e</w:t>
      </w:r>
      <w:r w:rsidRPr="002E7403">
        <w:rPr>
          <w:rFonts w:ascii="Palatino Linotype" w:hAnsi="Palatino Linotype"/>
          <w:sz w:val="24"/>
          <w:szCs w:val="24"/>
        </w:rPr>
        <w:t xml:space="preserve"> della Corte di Giustizia Europea del 22 ottobre 2014 n. C 344/13 e C 367/13 che, nel bilanciamento tra libertà economica e tutela della salute, ha</w:t>
      </w:r>
      <w:r w:rsidR="00C91BCE" w:rsidRPr="002E7403">
        <w:rPr>
          <w:rFonts w:ascii="Palatino Linotype" w:hAnsi="Palatino Linotype"/>
          <w:sz w:val="24"/>
          <w:szCs w:val="24"/>
        </w:rPr>
        <w:t>nno</w:t>
      </w:r>
      <w:r w:rsidRPr="002E7403">
        <w:rPr>
          <w:rFonts w:ascii="Palatino Linotype" w:hAnsi="Palatino Linotype"/>
          <w:sz w:val="24"/>
          <w:szCs w:val="24"/>
        </w:rPr>
        <w:t xml:space="preserve"> dato prevalenza a quest’ultima;</w:t>
      </w:r>
    </w:p>
    <w:p w14:paraId="03F2D1C1" w14:textId="77777777" w:rsidR="001301F3" w:rsidRPr="00C03BF2" w:rsidRDefault="001301F3" w:rsidP="002B7FAB">
      <w:pPr>
        <w:autoSpaceDE w:val="0"/>
        <w:autoSpaceDN w:val="0"/>
        <w:adjustRightInd w:val="0"/>
        <w:ind w:left="28" w:firstLine="0"/>
        <w:jc w:val="both"/>
        <w:rPr>
          <w:rFonts w:ascii="Palatino Linotype" w:hAnsi="Palatino Linotype"/>
          <w:sz w:val="24"/>
          <w:szCs w:val="24"/>
        </w:rPr>
      </w:pPr>
    </w:p>
    <w:p w14:paraId="156579B6" w14:textId="62D66669" w:rsidR="001301F3" w:rsidRPr="002E7403" w:rsidRDefault="001301F3" w:rsidP="002E7403">
      <w:pPr>
        <w:autoSpaceDE w:val="0"/>
        <w:autoSpaceDN w:val="0"/>
        <w:adjustRightInd w:val="0"/>
        <w:ind w:left="28" w:firstLine="0"/>
        <w:jc w:val="both"/>
        <w:rPr>
          <w:rFonts w:ascii="Palatino Linotype" w:hAnsi="Palatino Linotype"/>
          <w:b/>
          <w:color w:val="000000"/>
          <w:sz w:val="24"/>
          <w:szCs w:val="24"/>
        </w:rPr>
      </w:pPr>
      <w:r w:rsidRPr="002E7403">
        <w:rPr>
          <w:rFonts w:ascii="Palatino Linotype" w:hAnsi="Palatino Linotype"/>
          <w:b/>
          <w:color w:val="000000"/>
          <w:sz w:val="24"/>
          <w:szCs w:val="24"/>
        </w:rPr>
        <w:t>VIST</w:t>
      </w:r>
      <w:r w:rsidR="006B5DED" w:rsidRPr="002E7403">
        <w:rPr>
          <w:rFonts w:ascii="Palatino Linotype" w:hAnsi="Palatino Linotype"/>
          <w:b/>
          <w:color w:val="000000"/>
          <w:sz w:val="24"/>
          <w:szCs w:val="24"/>
        </w:rPr>
        <w:t>O</w:t>
      </w:r>
    </w:p>
    <w:p w14:paraId="65CC05F3" w14:textId="6BEC1CED" w:rsidR="003B3CC9" w:rsidRPr="00C03BF2" w:rsidRDefault="00B05AB1" w:rsidP="00085CFA">
      <w:pPr>
        <w:autoSpaceDE w:val="0"/>
        <w:autoSpaceDN w:val="0"/>
        <w:adjustRightInd w:val="0"/>
        <w:ind w:left="0" w:firstLine="0"/>
        <w:jc w:val="both"/>
        <w:rPr>
          <w:rFonts w:ascii="Palatino Linotype" w:hAnsi="Palatino Linotype"/>
          <w:sz w:val="24"/>
          <w:szCs w:val="24"/>
        </w:rPr>
      </w:pPr>
      <w:r w:rsidRPr="00C03BF2">
        <w:rPr>
          <w:rFonts w:ascii="Palatino Linotype" w:hAnsi="Palatino Linotype"/>
          <w:color w:val="000000"/>
          <w:sz w:val="24"/>
          <w:szCs w:val="24"/>
        </w:rPr>
        <w:t xml:space="preserve">lo </w:t>
      </w:r>
      <w:r w:rsidR="001301F3" w:rsidRPr="00C03BF2">
        <w:rPr>
          <w:rFonts w:ascii="Palatino Linotype" w:hAnsi="Palatino Linotype"/>
          <w:color w:val="000000"/>
          <w:sz w:val="24"/>
          <w:szCs w:val="24"/>
        </w:rPr>
        <w:t>schema di “R</w:t>
      </w:r>
      <w:r w:rsidR="001301F3" w:rsidRPr="00C03BF2">
        <w:rPr>
          <w:rFonts w:ascii="Palatino Linotype" w:hAnsi="Palatino Linotype"/>
          <w:i/>
          <w:iCs/>
          <w:color w:val="000000"/>
          <w:sz w:val="24"/>
          <w:szCs w:val="24"/>
        </w:rPr>
        <w:t xml:space="preserve">egolamento Comunale sui criteri di installazione di nuovi apparecchi da intrattenimento con vincita in denaro e di sistemi da gioco video </w:t>
      </w:r>
      <w:proofErr w:type="spellStart"/>
      <w:r w:rsidR="001301F3" w:rsidRPr="00C03BF2">
        <w:rPr>
          <w:rFonts w:ascii="Palatino Linotype" w:hAnsi="Palatino Linotype"/>
          <w:i/>
          <w:iCs/>
          <w:color w:val="000000"/>
          <w:sz w:val="24"/>
          <w:szCs w:val="24"/>
        </w:rPr>
        <w:t>lottery</w:t>
      </w:r>
      <w:proofErr w:type="spellEnd"/>
      <w:r w:rsidR="001301F3" w:rsidRPr="00C03BF2">
        <w:rPr>
          <w:rFonts w:ascii="Palatino Linotype" w:hAnsi="Palatino Linotype"/>
          <w:i/>
          <w:iCs/>
          <w:color w:val="000000"/>
          <w:sz w:val="24"/>
          <w:szCs w:val="24"/>
        </w:rPr>
        <w:t xml:space="preserve">, nonché di pratica ed esercizio del gioco d'azzardo </w:t>
      </w:r>
      <w:r w:rsidR="001301F3" w:rsidRPr="00C03BF2">
        <w:rPr>
          <w:rFonts w:ascii="Palatino Linotype" w:hAnsi="Palatino Linotype"/>
          <w:i/>
          <w:iCs/>
          <w:sz w:val="24"/>
          <w:szCs w:val="24"/>
        </w:rPr>
        <w:t>e comunque dei giochi con vincita in denaro, leciti, comprese le scommesse”</w:t>
      </w:r>
      <w:r w:rsidR="007E488A" w:rsidRPr="00C03BF2">
        <w:rPr>
          <w:rFonts w:ascii="Palatino Linotype" w:hAnsi="Palatino Linotype"/>
          <w:i/>
          <w:iCs/>
          <w:sz w:val="24"/>
          <w:szCs w:val="24"/>
        </w:rPr>
        <w:t xml:space="preserve"> </w:t>
      </w:r>
      <w:r w:rsidR="00ED51EA" w:rsidRPr="00C03BF2">
        <w:rPr>
          <w:rFonts w:ascii="Palatino Linotype" w:hAnsi="Palatino Linotype"/>
          <w:iCs/>
          <w:sz w:val="24"/>
          <w:szCs w:val="24"/>
        </w:rPr>
        <w:t xml:space="preserve">elaborato dalla Associazione Comuni della Marca Trevigiana, </w:t>
      </w:r>
      <w:r w:rsidR="007E488A" w:rsidRPr="00C03BF2">
        <w:rPr>
          <w:rFonts w:ascii="Palatino Linotype" w:hAnsi="Palatino Linotype"/>
          <w:iCs/>
          <w:sz w:val="24"/>
          <w:szCs w:val="24"/>
        </w:rPr>
        <w:t>da anni i</w:t>
      </w:r>
      <w:r w:rsidR="00ED51EA" w:rsidRPr="00C03BF2">
        <w:rPr>
          <w:rFonts w:ascii="Palatino Linotype" w:hAnsi="Palatino Linotype"/>
          <w:iCs/>
          <w:sz w:val="24"/>
          <w:szCs w:val="24"/>
        </w:rPr>
        <w:t>mpegnata</w:t>
      </w:r>
      <w:r w:rsidR="00087AA7" w:rsidRPr="00C03BF2">
        <w:rPr>
          <w:rFonts w:ascii="Palatino Linotype" w:hAnsi="Palatino Linotype"/>
          <w:iCs/>
          <w:sz w:val="24"/>
          <w:szCs w:val="24"/>
        </w:rPr>
        <w:t>, in collaborazione</w:t>
      </w:r>
      <w:r w:rsidR="00760DF5" w:rsidRPr="00C03BF2">
        <w:rPr>
          <w:rFonts w:ascii="Palatino Linotype" w:hAnsi="Palatino Linotype"/>
          <w:iCs/>
          <w:sz w:val="24"/>
          <w:szCs w:val="24"/>
        </w:rPr>
        <w:t xml:space="preserve"> con</w:t>
      </w:r>
      <w:r w:rsidR="00ED51EA" w:rsidRPr="00C03BF2">
        <w:rPr>
          <w:rFonts w:ascii="Palatino Linotype" w:hAnsi="Palatino Linotype"/>
          <w:iCs/>
          <w:sz w:val="24"/>
          <w:szCs w:val="24"/>
        </w:rPr>
        <w:t xml:space="preserve"> l’Azienda Ulss2 Mar</w:t>
      </w:r>
      <w:r w:rsidR="001D0FE5" w:rsidRPr="00C03BF2">
        <w:rPr>
          <w:rFonts w:ascii="Palatino Linotype" w:hAnsi="Palatino Linotype"/>
          <w:iCs/>
          <w:sz w:val="24"/>
          <w:szCs w:val="24"/>
        </w:rPr>
        <w:t>ca Trevigiana</w:t>
      </w:r>
      <w:r w:rsidR="00087AA7" w:rsidRPr="00C03BF2">
        <w:rPr>
          <w:rFonts w:ascii="Palatino Linotype" w:hAnsi="Palatino Linotype"/>
          <w:iCs/>
          <w:sz w:val="24"/>
          <w:szCs w:val="24"/>
        </w:rPr>
        <w:t>,</w:t>
      </w:r>
      <w:r w:rsidR="001D0FE5" w:rsidRPr="00C03BF2">
        <w:rPr>
          <w:rFonts w:ascii="Palatino Linotype" w:hAnsi="Palatino Linotype"/>
          <w:iCs/>
          <w:sz w:val="24"/>
          <w:szCs w:val="24"/>
        </w:rPr>
        <w:t xml:space="preserve"> </w:t>
      </w:r>
      <w:r w:rsidR="00087AA7" w:rsidRPr="00C03BF2">
        <w:rPr>
          <w:rFonts w:ascii="Palatino Linotype" w:hAnsi="Palatino Linotype"/>
          <w:iCs/>
          <w:sz w:val="24"/>
          <w:szCs w:val="24"/>
        </w:rPr>
        <w:t xml:space="preserve">a </w:t>
      </w:r>
      <w:r w:rsidR="001D0FE5" w:rsidRPr="00C03BF2">
        <w:rPr>
          <w:rFonts w:ascii="Palatino Linotype" w:hAnsi="Palatino Linotype"/>
          <w:iCs/>
          <w:sz w:val="24"/>
          <w:szCs w:val="24"/>
        </w:rPr>
        <w:t>supportare i C</w:t>
      </w:r>
      <w:r w:rsidR="00ED51EA" w:rsidRPr="00C03BF2">
        <w:rPr>
          <w:rFonts w:ascii="Palatino Linotype" w:hAnsi="Palatino Linotype"/>
          <w:iCs/>
          <w:sz w:val="24"/>
          <w:szCs w:val="24"/>
        </w:rPr>
        <w:t>omuni in azioni concert</w:t>
      </w:r>
      <w:r w:rsidR="009153AF" w:rsidRPr="00C03BF2">
        <w:rPr>
          <w:rFonts w:ascii="Palatino Linotype" w:hAnsi="Palatino Linotype"/>
          <w:iCs/>
          <w:sz w:val="24"/>
          <w:szCs w:val="24"/>
        </w:rPr>
        <w:t>ate di contrasto alla ludopatia</w:t>
      </w:r>
      <w:r w:rsidR="00C862E0" w:rsidRPr="00C03BF2">
        <w:rPr>
          <w:rFonts w:ascii="Palatino Linotype" w:hAnsi="Palatino Linotype"/>
          <w:iCs/>
          <w:sz w:val="24"/>
          <w:szCs w:val="24"/>
        </w:rPr>
        <w:t>;</w:t>
      </w:r>
      <w:r w:rsidR="00061497" w:rsidRPr="00C03BF2">
        <w:rPr>
          <w:rFonts w:ascii="Palatino Linotype" w:hAnsi="Palatino Linotype"/>
          <w:sz w:val="24"/>
          <w:szCs w:val="24"/>
        </w:rPr>
        <w:t xml:space="preserve"> </w:t>
      </w:r>
    </w:p>
    <w:p w14:paraId="73752168" w14:textId="77777777" w:rsidR="003B3CC9" w:rsidRPr="00C03BF2" w:rsidRDefault="003B3CC9" w:rsidP="00085CFA">
      <w:pPr>
        <w:autoSpaceDE w:val="0"/>
        <w:autoSpaceDN w:val="0"/>
        <w:adjustRightInd w:val="0"/>
        <w:ind w:left="0" w:firstLine="0"/>
        <w:jc w:val="both"/>
        <w:rPr>
          <w:rFonts w:ascii="Palatino Linotype" w:hAnsi="Palatino Linotype"/>
          <w:color w:val="000000"/>
          <w:sz w:val="24"/>
          <w:szCs w:val="24"/>
        </w:rPr>
      </w:pPr>
    </w:p>
    <w:p w14:paraId="722A538F" w14:textId="13EEB247" w:rsidR="00AA491A" w:rsidRPr="00C03BF2" w:rsidRDefault="003B3CC9" w:rsidP="002E7403">
      <w:pPr>
        <w:autoSpaceDE w:val="0"/>
        <w:autoSpaceDN w:val="0"/>
        <w:adjustRightInd w:val="0"/>
        <w:ind w:left="28" w:firstLine="0"/>
        <w:jc w:val="both"/>
        <w:rPr>
          <w:rFonts w:ascii="Palatino Linotype" w:hAnsi="Palatino Linotype"/>
          <w:sz w:val="24"/>
          <w:szCs w:val="24"/>
        </w:rPr>
      </w:pPr>
      <w:r w:rsidRPr="002E7403">
        <w:rPr>
          <w:rFonts w:ascii="Palatino Linotype" w:hAnsi="Palatino Linotype"/>
          <w:b/>
          <w:color w:val="000000"/>
          <w:sz w:val="24"/>
          <w:szCs w:val="24"/>
        </w:rPr>
        <w:t>RITENUTO</w:t>
      </w:r>
    </w:p>
    <w:p w14:paraId="24B14E8B" w14:textId="5C1E9519" w:rsidR="00061497" w:rsidRPr="00C03BF2" w:rsidRDefault="004470FB" w:rsidP="002B7FAB">
      <w:pPr>
        <w:ind w:left="0" w:firstLine="0"/>
        <w:jc w:val="both"/>
        <w:rPr>
          <w:rFonts w:ascii="Palatino Linotype" w:hAnsi="Palatino Linotype"/>
          <w:sz w:val="24"/>
          <w:szCs w:val="24"/>
        </w:rPr>
      </w:pPr>
      <w:r w:rsidRPr="00C03BF2">
        <w:rPr>
          <w:rFonts w:ascii="Palatino Linotype" w:hAnsi="Palatino Linotype"/>
          <w:sz w:val="24"/>
          <w:szCs w:val="24"/>
        </w:rPr>
        <w:t>che le disposizioni del Regolamento, considerate</w:t>
      </w:r>
      <w:r w:rsidR="00061497" w:rsidRPr="00C03BF2">
        <w:rPr>
          <w:rFonts w:ascii="Palatino Linotype" w:hAnsi="Palatino Linotype"/>
          <w:sz w:val="24"/>
          <w:szCs w:val="24"/>
        </w:rPr>
        <w:t xml:space="preserve"> sia in termini spaziali che temporali, </w:t>
      </w:r>
      <w:r w:rsidRPr="00C03BF2">
        <w:rPr>
          <w:rFonts w:ascii="Palatino Linotype" w:hAnsi="Palatino Linotype"/>
          <w:sz w:val="24"/>
          <w:szCs w:val="24"/>
        </w:rPr>
        <w:t>siano</w:t>
      </w:r>
      <w:r w:rsidR="00061497" w:rsidRPr="00C03BF2">
        <w:rPr>
          <w:rFonts w:ascii="Palatino Linotype" w:hAnsi="Palatino Linotype"/>
          <w:sz w:val="24"/>
          <w:szCs w:val="24"/>
        </w:rPr>
        <w:t xml:space="preserve"> congru</w:t>
      </w:r>
      <w:r w:rsidRPr="00C03BF2">
        <w:rPr>
          <w:rFonts w:ascii="Palatino Linotype" w:hAnsi="Palatino Linotype"/>
          <w:sz w:val="24"/>
          <w:szCs w:val="24"/>
        </w:rPr>
        <w:t>e</w:t>
      </w:r>
      <w:r w:rsidR="00061497" w:rsidRPr="00C03BF2">
        <w:rPr>
          <w:rFonts w:ascii="Palatino Linotype" w:hAnsi="Palatino Linotype"/>
          <w:sz w:val="24"/>
          <w:szCs w:val="24"/>
        </w:rPr>
        <w:t xml:space="preserve"> ed equilibrat</w:t>
      </w:r>
      <w:r w:rsidRPr="00C03BF2">
        <w:rPr>
          <w:rFonts w:ascii="Palatino Linotype" w:hAnsi="Palatino Linotype"/>
          <w:sz w:val="24"/>
          <w:szCs w:val="24"/>
        </w:rPr>
        <w:t>e</w:t>
      </w:r>
      <w:r w:rsidR="00061497" w:rsidRPr="00C03BF2">
        <w:rPr>
          <w:rFonts w:ascii="Palatino Linotype" w:hAnsi="Palatino Linotype"/>
          <w:sz w:val="24"/>
          <w:szCs w:val="24"/>
        </w:rPr>
        <w:t xml:space="preserve"> secondo il principio di proporzionalità, </w:t>
      </w:r>
      <w:r w:rsidR="00060CE7" w:rsidRPr="00C03BF2">
        <w:rPr>
          <w:rFonts w:ascii="Palatino Linotype" w:hAnsi="Palatino Linotype"/>
          <w:sz w:val="24"/>
          <w:szCs w:val="24"/>
        </w:rPr>
        <w:t>in quanto tengono conto,</w:t>
      </w:r>
      <w:r w:rsidR="00061497" w:rsidRPr="00C03BF2">
        <w:rPr>
          <w:rFonts w:ascii="Palatino Linotype" w:hAnsi="Palatino Linotype"/>
          <w:sz w:val="24"/>
          <w:szCs w:val="24"/>
        </w:rPr>
        <w:t xml:space="preserve"> tra l’altro, della necessità di preservare i cd luoghi “sensibili”, frequentati proprio dai soggetti maggiormente vulnerabili, anziani e giovani in particolare;</w:t>
      </w:r>
    </w:p>
    <w:p w14:paraId="4D091FB0" w14:textId="77777777" w:rsidR="001301F3" w:rsidRPr="00C03BF2" w:rsidRDefault="001301F3" w:rsidP="00085CFA">
      <w:pPr>
        <w:autoSpaceDE w:val="0"/>
        <w:autoSpaceDN w:val="0"/>
        <w:adjustRightInd w:val="0"/>
        <w:ind w:left="0" w:firstLine="0"/>
        <w:jc w:val="both"/>
        <w:rPr>
          <w:rFonts w:ascii="Palatino Linotype" w:hAnsi="Palatino Linotype"/>
          <w:strike/>
          <w:color w:val="000000"/>
          <w:sz w:val="24"/>
          <w:szCs w:val="24"/>
        </w:rPr>
      </w:pPr>
    </w:p>
    <w:p w14:paraId="3B23137E" w14:textId="35CC7E8B" w:rsidR="006B2D26" w:rsidRPr="00C03BF2" w:rsidRDefault="001301F3" w:rsidP="002B7FAB">
      <w:pPr>
        <w:autoSpaceDE w:val="0"/>
        <w:autoSpaceDN w:val="0"/>
        <w:adjustRightInd w:val="0"/>
        <w:ind w:left="28" w:firstLine="0"/>
        <w:jc w:val="both"/>
        <w:rPr>
          <w:rFonts w:ascii="Palatino Linotype" w:hAnsi="Palatino Linotype"/>
          <w:color w:val="000000"/>
          <w:sz w:val="24"/>
          <w:szCs w:val="24"/>
        </w:rPr>
      </w:pPr>
      <w:r w:rsidRPr="002E7403">
        <w:rPr>
          <w:rFonts w:ascii="Palatino Linotype" w:hAnsi="Palatino Linotype"/>
          <w:b/>
          <w:color w:val="000000"/>
          <w:sz w:val="24"/>
          <w:szCs w:val="24"/>
        </w:rPr>
        <w:t>VIST</w:t>
      </w:r>
      <w:r w:rsidR="006B2D26" w:rsidRPr="002E7403">
        <w:rPr>
          <w:rFonts w:ascii="Palatino Linotype" w:hAnsi="Palatino Linotype"/>
          <w:b/>
          <w:color w:val="000000"/>
          <w:sz w:val="24"/>
          <w:szCs w:val="24"/>
        </w:rPr>
        <w:t>I</w:t>
      </w:r>
    </w:p>
    <w:p w14:paraId="011F7503" w14:textId="6000CBB9" w:rsidR="00E25675" w:rsidRPr="00C03BF2" w:rsidRDefault="00085CFA" w:rsidP="00085CFA">
      <w:pPr>
        <w:pStyle w:val="Paragrafoelenco"/>
        <w:numPr>
          <w:ilvl w:val="0"/>
          <w:numId w:val="2"/>
        </w:numPr>
        <w:jc w:val="both"/>
        <w:rPr>
          <w:rFonts w:ascii="Palatino Linotype" w:hAnsi="Palatino Linotype"/>
          <w:sz w:val="24"/>
          <w:szCs w:val="24"/>
        </w:rPr>
      </w:pPr>
      <w:r w:rsidRPr="00C03BF2">
        <w:rPr>
          <w:rFonts w:ascii="Palatino Linotype" w:hAnsi="Palatino Linotype"/>
          <w:sz w:val="24"/>
          <w:szCs w:val="24"/>
        </w:rPr>
        <w:t>i</w:t>
      </w:r>
      <w:r w:rsidR="00E25675" w:rsidRPr="00C03BF2">
        <w:rPr>
          <w:rFonts w:ascii="Palatino Linotype" w:hAnsi="Palatino Linotype"/>
          <w:sz w:val="24"/>
          <w:szCs w:val="24"/>
        </w:rPr>
        <w:t>l TULPS approvato con R.D.</w:t>
      </w:r>
      <w:r w:rsidR="0045597F" w:rsidRPr="00C03BF2">
        <w:rPr>
          <w:rFonts w:ascii="Palatino Linotype" w:hAnsi="Palatino Linotype"/>
          <w:sz w:val="24"/>
          <w:szCs w:val="24"/>
        </w:rPr>
        <w:t xml:space="preserve"> 18 giugno 1931 n. 773;</w:t>
      </w:r>
    </w:p>
    <w:p w14:paraId="72119054" w14:textId="63C5235B" w:rsidR="001301F3" w:rsidRPr="00C03BF2" w:rsidRDefault="001301F3" w:rsidP="00085CFA">
      <w:pPr>
        <w:pStyle w:val="Paragrafoelenco"/>
        <w:numPr>
          <w:ilvl w:val="0"/>
          <w:numId w:val="2"/>
        </w:numPr>
        <w:jc w:val="both"/>
        <w:rPr>
          <w:rFonts w:ascii="Palatino Linotype" w:hAnsi="Palatino Linotype"/>
          <w:sz w:val="24"/>
          <w:szCs w:val="24"/>
        </w:rPr>
      </w:pPr>
      <w:r w:rsidRPr="00C03BF2">
        <w:rPr>
          <w:rFonts w:ascii="Palatino Linotype" w:hAnsi="Palatino Linotype"/>
          <w:sz w:val="24"/>
          <w:szCs w:val="24"/>
        </w:rPr>
        <w:t>la Legge 7 agosto 1990 n. 241;</w:t>
      </w:r>
    </w:p>
    <w:p w14:paraId="37F165A9" w14:textId="435D665F" w:rsidR="001301F3" w:rsidRPr="00C03BF2" w:rsidRDefault="001301F3" w:rsidP="00085CFA">
      <w:pPr>
        <w:pStyle w:val="Paragrafoelenco"/>
        <w:numPr>
          <w:ilvl w:val="0"/>
          <w:numId w:val="2"/>
        </w:numPr>
        <w:jc w:val="both"/>
        <w:rPr>
          <w:rFonts w:ascii="Palatino Linotype" w:hAnsi="Palatino Linotype"/>
          <w:sz w:val="24"/>
          <w:szCs w:val="24"/>
        </w:rPr>
      </w:pPr>
      <w:r w:rsidRPr="00C03BF2">
        <w:rPr>
          <w:rFonts w:ascii="Palatino Linotype" w:hAnsi="Palatino Linotype"/>
          <w:sz w:val="24"/>
          <w:szCs w:val="24"/>
        </w:rPr>
        <w:t>i</w:t>
      </w:r>
      <w:r w:rsidR="00002433" w:rsidRPr="00C03BF2">
        <w:rPr>
          <w:rFonts w:ascii="Palatino Linotype" w:hAnsi="Palatino Linotype"/>
          <w:sz w:val="24"/>
          <w:szCs w:val="24"/>
        </w:rPr>
        <w:t>l D.l</w:t>
      </w:r>
      <w:r w:rsidRPr="00C03BF2">
        <w:rPr>
          <w:rFonts w:ascii="Palatino Linotype" w:hAnsi="Palatino Linotype"/>
          <w:sz w:val="24"/>
          <w:szCs w:val="24"/>
        </w:rPr>
        <w:t xml:space="preserve">gs. </w:t>
      </w:r>
      <w:r w:rsidR="00085CFA" w:rsidRPr="00C03BF2">
        <w:rPr>
          <w:rFonts w:ascii="Palatino Linotype" w:hAnsi="Palatino Linotype"/>
          <w:sz w:val="24"/>
          <w:szCs w:val="24"/>
        </w:rPr>
        <w:t xml:space="preserve">18 agosto 2000 </w:t>
      </w:r>
      <w:r w:rsidRPr="00C03BF2">
        <w:rPr>
          <w:rFonts w:ascii="Palatino Linotype" w:hAnsi="Palatino Linotype"/>
          <w:sz w:val="24"/>
          <w:szCs w:val="24"/>
        </w:rPr>
        <w:t>n. 267;</w:t>
      </w:r>
    </w:p>
    <w:p w14:paraId="78FF2404" w14:textId="3D672A94" w:rsidR="001301F3" w:rsidRPr="00C03BF2" w:rsidRDefault="001301F3" w:rsidP="00085CFA">
      <w:pPr>
        <w:pStyle w:val="Paragrafoelenco"/>
        <w:numPr>
          <w:ilvl w:val="0"/>
          <w:numId w:val="2"/>
        </w:numPr>
        <w:jc w:val="both"/>
        <w:rPr>
          <w:rFonts w:ascii="Palatino Linotype" w:hAnsi="Palatino Linotype"/>
          <w:sz w:val="24"/>
          <w:szCs w:val="24"/>
        </w:rPr>
      </w:pPr>
      <w:r w:rsidRPr="00C03BF2">
        <w:rPr>
          <w:rFonts w:ascii="Palatino Linotype" w:hAnsi="Palatino Linotype"/>
          <w:sz w:val="24"/>
          <w:szCs w:val="24"/>
        </w:rPr>
        <w:t xml:space="preserve">la </w:t>
      </w:r>
      <w:r w:rsidR="006B2D26" w:rsidRPr="00C03BF2">
        <w:rPr>
          <w:rFonts w:ascii="Palatino Linotype" w:hAnsi="Palatino Linotype"/>
          <w:sz w:val="24"/>
          <w:szCs w:val="24"/>
        </w:rPr>
        <w:t>L</w:t>
      </w:r>
      <w:r w:rsidRPr="00C03BF2">
        <w:rPr>
          <w:rFonts w:ascii="Palatino Linotype" w:hAnsi="Palatino Linotype"/>
          <w:sz w:val="24"/>
          <w:szCs w:val="24"/>
        </w:rPr>
        <w:t xml:space="preserve">egge regionale </w:t>
      </w:r>
      <w:r w:rsidR="008C142D" w:rsidRPr="00C03BF2">
        <w:rPr>
          <w:rFonts w:ascii="Palatino Linotype" w:hAnsi="Palatino Linotype"/>
          <w:sz w:val="24"/>
          <w:szCs w:val="24"/>
        </w:rPr>
        <w:t>10 settembre 2019 n. 38;</w:t>
      </w:r>
    </w:p>
    <w:p w14:paraId="2215CDE6" w14:textId="28E41C07" w:rsidR="006B2D26" w:rsidRPr="00C03BF2" w:rsidRDefault="006B2D26" w:rsidP="00085CFA">
      <w:pPr>
        <w:pStyle w:val="Paragrafoelenco"/>
        <w:numPr>
          <w:ilvl w:val="0"/>
          <w:numId w:val="2"/>
        </w:numPr>
        <w:jc w:val="both"/>
        <w:rPr>
          <w:rFonts w:ascii="Palatino Linotype" w:hAnsi="Palatino Linotype"/>
          <w:sz w:val="24"/>
          <w:szCs w:val="24"/>
        </w:rPr>
      </w:pPr>
      <w:r w:rsidRPr="00C03BF2">
        <w:rPr>
          <w:rFonts w:ascii="Palatino Linotype" w:hAnsi="Palatino Linotype"/>
          <w:sz w:val="24"/>
          <w:szCs w:val="24"/>
        </w:rPr>
        <w:t>la Deliberazione della Giunta regionale n. 2006 del 30 dicembre 2019;</w:t>
      </w:r>
    </w:p>
    <w:p w14:paraId="52140246" w14:textId="77777777" w:rsidR="00085CFA" w:rsidRPr="00C03BF2" w:rsidRDefault="00085CFA" w:rsidP="00085CFA">
      <w:pPr>
        <w:pStyle w:val="Paragrafoelenco"/>
        <w:ind w:left="388" w:firstLine="0"/>
        <w:jc w:val="both"/>
        <w:rPr>
          <w:rFonts w:ascii="Palatino Linotype" w:hAnsi="Palatino Linotype"/>
          <w:sz w:val="24"/>
          <w:szCs w:val="24"/>
        </w:rPr>
      </w:pPr>
    </w:p>
    <w:p w14:paraId="6F15A75C" w14:textId="77777777" w:rsidR="001301F3" w:rsidRPr="00C03BF2" w:rsidRDefault="001301F3" w:rsidP="002B7FAB">
      <w:pPr>
        <w:autoSpaceDE w:val="0"/>
        <w:autoSpaceDN w:val="0"/>
        <w:adjustRightInd w:val="0"/>
        <w:ind w:left="28" w:firstLine="0"/>
        <w:jc w:val="both"/>
        <w:rPr>
          <w:rFonts w:ascii="Palatino Linotype" w:hAnsi="Palatino Linotype"/>
          <w:color w:val="000000"/>
          <w:sz w:val="24"/>
          <w:szCs w:val="24"/>
        </w:rPr>
      </w:pPr>
      <w:r w:rsidRPr="00C03BF2">
        <w:rPr>
          <w:rFonts w:ascii="Palatino Linotype" w:hAnsi="Palatino Linotype"/>
          <w:color w:val="000000"/>
          <w:sz w:val="24"/>
          <w:szCs w:val="24"/>
        </w:rPr>
        <w:t xml:space="preserve">VISTO il parere favorevole in merito alla regolarità tecnica espresso dal Responsabile del servizio interessato reso ai sensi dell’art. 49 </w:t>
      </w:r>
      <w:proofErr w:type="spellStart"/>
      <w:r w:rsidRPr="00C03BF2">
        <w:rPr>
          <w:rFonts w:ascii="Palatino Linotype" w:hAnsi="Palatino Linotype"/>
          <w:color w:val="000000"/>
          <w:sz w:val="24"/>
          <w:szCs w:val="24"/>
        </w:rPr>
        <w:t>D.Lgs.</w:t>
      </w:r>
      <w:proofErr w:type="spellEnd"/>
      <w:r w:rsidRPr="00C03BF2">
        <w:rPr>
          <w:rFonts w:ascii="Palatino Linotype" w:hAnsi="Palatino Linotype"/>
          <w:color w:val="000000"/>
          <w:sz w:val="24"/>
          <w:szCs w:val="24"/>
        </w:rPr>
        <w:t xml:space="preserve"> 267/2000; </w:t>
      </w:r>
    </w:p>
    <w:p w14:paraId="2CC262A5" w14:textId="77777777" w:rsidR="001301F3" w:rsidRPr="00C03BF2" w:rsidRDefault="001301F3" w:rsidP="002B7FAB">
      <w:pPr>
        <w:autoSpaceDE w:val="0"/>
        <w:autoSpaceDN w:val="0"/>
        <w:adjustRightInd w:val="0"/>
        <w:ind w:left="28" w:firstLine="0"/>
        <w:jc w:val="both"/>
        <w:rPr>
          <w:rFonts w:ascii="Palatino Linotype" w:hAnsi="Palatino Linotype"/>
          <w:color w:val="000000"/>
          <w:sz w:val="24"/>
          <w:szCs w:val="24"/>
        </w:rPr>
      </w:pPr>
    </w:p>
    <w:p w14:paraId="384F0EE9" w14:textId="3E263752" w:rsidR="001301F3" w:rsidRPr="00C03BF2" w:rsidRDefault="001301F3" w:rsidP="002B7FAB">
      <w:pPr>
        <w:autoSpaceDE w:val="0"/>
        <w:autoSpaceDN w:val="0"/>
        <w:adjustRightInd w:val="0"/>
        <w:ind w:left="28" w:firstLine="0"/>
        <w:jc w:val="both"/>
        <w:rPr>
          <w:rFonts w:ascii="Palatino Linotype" w:hAnsi="Palatino Linotype"/>
          <w:color w:val="000000"/>
          <w:sz w:val="24"/>
          <w:szCs w:val="24"/>
        </w:rPr>
      </w:pPr>
      <w:r w:rsidRPr="00C03BF2">
        <w:rPr>
          <w:rFonts w:ascii="Palatino Linotype" w:hAnsi="Palatino Linotype"/>
          <w:color w:val="000000"/>
          <w:sz w:val="24"/>
          <w:szCs w:val="24"/>
        </w:rPr>
        <w:t xml:space="preserve">Con votazione </w:t>
      </w:r>
      <w:r w:rsidR="009C15B8" w:rsidRPr="00C03BF2">
        <w:rPr>
          <w:rFonts w:ascii="Palatino Linotype" w:hAnsi="Palatino Linotype"/>
          <w:color w:val="000000"/>
          <w:sz w:val="24"/>
          <w:szCs w:val="24"/>
        </w:rPr>
        <w:t>………………</w:t>
      </w:r>
      <w:r w:rsidRPr="00C03BF2">
        <w:rPr>
          <w:rFonts w:ascii="Palatino Linotype" w:hAnsi="Palatino Linotype"/>
          <w:color w:val="000000"/>
          <w:sz w:val="24"/>
          <w:szCs w:val="24"/>
        </w:rPr>
        <w:t xml:space="preserve"> che dà il seguente risultato:</w:t>
      </w:r>
    </w:p>
    <w:p w14:paraId="4BFBD89C" w14:textId="77777777" w:rsidR="001301F3" w:rsidRPr="00C03BF2" w:rsidRDefault="001301F3" w:rsidP="002B7FAB">
      <w:pPr>
        <w:autoSpaceDE w:val="0"/>
        <w:autoSpaceDN w:val="0"/>
        <w:adjustRightInd w:val="0"/>
        <w:ind w:left="28" w:firstLine="0"/>
        <w:jc w:val="both"/>
        <w:rPr>
          <w:rFonts w:ascii="Palatino Linotype" w:hAnsi="Palatino Linotype"/>
          <w:color w:val="000000"/>
          <w:sz w:val="24"/>
          <w:szCs w:val="24"/>
        </w:rPr>
      </w:pPr>
    </w:p>
    <w:p w14:paraId="17B1BBF4" w14:textId="77777777" w:rsidR="001301F3" w:rsidRPr="00C03BF2" w:rsidRDefault="001301F3" w:rsidP="00096228">
      <w:pPr>
        <w:autoSpaceDE w:val="0"/>
        <w:autoSpaceDN w:val="0"/>
        <w:adjustRightInd w:val="0"/>
        <w:ind w:left="0" w:firstLine="0"/>
        <w:jc w:val="center"/>
        <w:rPr>
          <w:rFonts w:ascii="Palatino Linotype" w:hAnsi="Palatino Linotype"/>
          <w:b/>
          <w:bCs/>
          <w:color w:val="000000"/>
          <w:sz w:val="24"/>
          <w:szCs w:val="24"/>
        </w:rPr>
      </w:pPr>
      <w:r w:rsidRPr="00C03BF2">
        <w:rPr>
          <w:rFonts w:ascii="Palatino Linotype" w:hAnsi="Palatino Linotype"/>
          <w:b/>
          <w:bCs/>
          <w:color w:val="000000"/>
          <w:sz w:val="24"/>
          <w:szCs w:val="24"/>
        </w:rPr>
        <w:t>DELIBERA</w:t>
      </w:r>
    </w:p>
    <w:p w14:paraId="18844CF8" w14:textId="77777777" w:rsidR="001301F3" w:rsidRPr="00C03BF2" w:rsidRDefault="001301F3" w:rsidP="002B7FAB">
      <w:pPr>
        <w:autoSpaceDE w:val="0"/>
        <w:autoSpaceDN w:val="0"/>
        <w:adjustRightInd w:val="0"/>
        <w:ind w:left="0" w:firstLine="0"/>
        <w:jc w:val="both"/>
        <w:rPr>
          <w:rFonts w:ascii="Palatino Linotype" w:hAnsi="Palatino Linotype"/>
          <w:b/>
          <w:bCs/>
          <w:color w:val="000000"/>
          <w:sz w:val="24"/>
          <w:szCs w:val="24"/>
        </w:rPr>
      </w:pPr>
    </w:p>
    <w:p w14:paraId="26898AF4" w14:textId="74C48B30" w:rsidR="001301F3" w:rsidRPr="00C03BF2" w:rsidRDefault="001301F3" w:rsidP="002B7FAB">
      <w:pPr>
        <w:autoSpaceDE w:val="0"/>
        <w:autoSpaceDN w:val="0"/>
        <w:adjustRightInd w:val="0"/>
        <w:ind w:left="388" w:hanging="360"/>
        <w:jc w:val="both"/>
        <w:rPr>
          <w:rFonts w:ascii="Palatino Linotype" w:hAnsi="Palatino Linotype"/>
          <w:color w:val="000000"/>
          <w:sz w:val="24"/>
          <w:szCs w:val="24"/>
        </w:rPr>
      </w:pPr>
      <w:r w:rsidRPr="00C03BF2">
        <w:rPr>
          <w:rFonts w:ascii="Palatino Linotype" w:hAnsi="Palatino Linotype"/>
          <w:color w:val="000000"/>
          <w:sz w:val="24"/>
          <w:szCs w:val="24"/>
        </w:rPr>
        <w:t>1)</w:t>
      </w:r>
      <w:r w:rsidRPr="00C03BF2">
        <w:rPr>
          <w:rFonts w:ascii="Palatino Linotype" w:hAnsi="Palatino Linotype"/>
          <w:color w:val="000000"/>
          <w:sz w:val="24"/>
          <w:szCs w:val="24"/>
        </w:rPr>
        <w:tab/>
        <w:t>di approvare il “R</w:t>
      </w:r>
      <w:r w:rsidRPr="00C03BF2">
        <w:rPr>
          <w:rFonts w:ascii="Palatino Linotype" w:hAnsi="Palatino Linotype"/>
          <w:i/>
          <w:iCs/>
          <w:color w:val="000000"/>
          <w:sz w:val="24"/>
          <w:szCs w:val="24"/>
        </w:rPr>
        <w:t xml:space="preserve">egolamento Comunale sui criteri di installazione di nuovi apparecchi da intrattenimento con vincita in denaro e di sistemi da gioco video </w:t>
      </w:r>
      <w:proofErr w:type="spellStart"/>
      <w:r w:rsidRPr="00C03BF2">
        <w:rPr>
          <w:rFonts w:ascii="Palatino Linotype" w:hAnsi="Palatino Linotype"/>
          <w:i/>
          <w:iCs/>
          <w:color w:val="000000"/>
          <w:sz w:val="24"/>
          <w:szCs w:val="24"/>
        </w:rPr>
        <w:t>lottery</w:t>
      </w:r>
      <w:proofErr w:type="spellEnd"/>
      <w:r w:rsidRPr="00C03BF2">
        <w:rPr>
          <w:rFonts w:ascii="Palatino Linotype" w:hAnsi="Palatino Linotype"/>
          <w:i/>
          <w:iCs/>
          <w:color w:val="000000"/>
          <w:sz w:val="24"/>
          <w:szCs w:val="24"/>
        </w:rPr>
        <w:t xml:space="preserve">, nonché di pratica ed </w:t>
      </w:r>
      <w:r w:rsidRPr="00C03BF2">
        <w:rPr>
          <w:rFonts w:ascii="Palatino Linotype" w:hAnsi="Palatino Linotype"/>
          <w:i/>
          <w:iCs/>
          <w:color w:val="000000"/>
          <w:sz w:val="24"/>
          <w:szCs w:val="24"/>
        </w:rPr>
        <w:lastRenderedPageBreak/>
        <w:t>esercizio del gioco d'azzardo e comunque dei giochi con vincita in denaro, leciti, comprese le scommesse”,</w:t>
      </w:r>
      <w:r w:rsidR="00D809D0" w:rsidRPr="00C03BF2">
        <w:rPr>
          <w:rFonts w:ascii="Palatino Linotype" w:hAnsi="Palatino Linotype"/>
          <w:color w:val="000000"/>
          <w:sz w:val="24"/>
          <w:szCs w:val="24"/>
        </w:rPr>
        <w:t xml:space="preserve"> nel testo composto da 7</w:t>
      </w:r>
      <w:r w:rsidRPr="00C03BF2">
        <w:rPr>
          <w:rFonts w:ascii="Palatino Linotype" w:hAnsi="Palatino Linotype"/>
          <w:color w:val="000000"/>
          <w:sz w:val="24"/>
          <w:szCs w:val="24"/>
        </w:rPr>
        <w:t xml:space="preserve"> articoli </w:t>
      </w:r>
      <w:r w:rsidR="004204AF">
        <w:rPr>
          <w:rFonts w:ascii="Palatino Linotype" w:hAnsi="Palatino Linotype"/>
          <w:color w:val="000000"/>
          <w:sz w:val="24"/>
          <w:szCs w:val="24"/>
        </w:rPr>
        <w:t>nel testo che viene allegato</w:t>
      </w:r>
      <w:r w:rsidRPr="00C03BF2">
        <w:rPr>
          <w:rFonts w:ascii="Palatino Linotype" w:hAnsi="Palatino Linotype"/>
          <w:sz w:val="24"/>
          <w:szCs w:val="24"/>
        </w:rPr>
        <w:t xml:space="preserve"> a</w:t>
      </w:r>
      <w:r w:rsidRPr="00C03BF2">
        <w:rPr>
          <w:rFonts w:ascii="Palatino Linotype" w:hAnsi="Palatino Linotype"/>
          <w:color w:val="000000"/>
          <w:sz w:val="24"/>
          <w:szCs w:val="24"/>
        </w:rPr>
        <w:t>lla presente deliberazione</w:t>
      </w:r>
      <w:r w:rsidR="004204AF">
        <w:rPr>
          <w:rFonts w:ascii="Palatino Linotype" w:hAnsi="Palatino Linotype"/>
          <w:color w:val="000000"/>
          <w:sz w:val="24"/>
          <w:szCs w:val="24"/>
        </w:rPr>
        <w:t xml:space="preserve"> </w:t>
      </w:r>
      <w:r w:rsidR="004204AF" w:rsidRPr="00630C6C">
        <w:rPr>
          <w:rFonts w:ascii="Palatino Linotype" w:hAnsi="Palatino Linotype"/>
          <w:color w:val="000000"/>
          <w:sz w:val="24"/>
          <w:szCs w:val="24"/>
          <w:highlight w:val="yellow"/>
        </w:rPr>
        <w:t>(Allegato 3)</w:t>
      </w:r>
      <w:r w:rsidRPr="00630C6C">
        <w:rPr>
          <w:rFonts w:ascii="Palatino Linotype" w:hAnsi="Palatino Linotype"/>
          <w:color w:val="000000"/>
          <w:sz w:val="24"/>
          <w:szCs w:val="24"/>
          <w:highlight w:val="yellow"/>
        </w:rPr>
        <w:t>;</w:t>
      </w:r>
    </w:p>
    <w:p w14:paraId="05A489B6" w14:textId="77777777" w:rsidR="001301F3" w:rsidRPr="00C03BF2" w:rsidRDefault="001301F3" w:rsidP="002B7FAB">
      <w:pPr>
        <w:autoSpaceDE w:val="0"/>
        <w:autoSpaceDN w:val="0"/>
        <w:adjustRightInd w:val="0"/>
        <w:ind w:left="388" w:hanging="360"/>
        <w:jc w:val="both"/>
        <w:rPr>
          <w:rFonts w:ascii="Palatino Linotype" w:hAnsi="Palatino Linotype"/>
          <w:color w:val="000000"/>
          <w:sz w:val="24"/>
          <w:szCs w:val="24"/>
        </w:rPr>
      </w:pPr>
    </w:p>
    <w:p w14:paraId="1443C125" w14:textId="7E3A370F" w:rsidR="001301F3" w:rsidRPr="00C03BF2" w:rsidRDefault="001301F3" w:rsidP="002B7FAB">
      <w:pPr>
        <w:autoSpaceDE w:val="0"/>
        <w:autoSpaceDN w:val="0"/>
        <w:adjustRightInd w:val="0"/>
        <w:ind w:left="388" w:hanging="360"/>
        <w:jc w:val="both"/>
        <w:rPr>
          <w:rFonts w:ascii="Palatino Linotype" w:hAnsi="Palatino Linotype"/>
          <w:color w:val="000000"/>
          <w:sz w:val="24"/>
          <w:szCs w:val="24"/>
        </w:rPr>
      </w:pPr>
      <w:r w:rsidRPr="00C03BF2">
        <w:rPr>
          <w:rFonts w:ascii="Palatino Linotype" w:hAnsi="Palatino Linotype"/>
          <w:color w:val="000000"/>
          <w:sz w:val="24"/>
          <w:szCs w:val="24"/>
        </w:rPr>
        <w:t>2)</w:t>
      </w:r>
      <w:r w:rsidRPr="00C03BF2">
        <w:rPr>
          <w:rFonts w:ascii="Palatino Linotype" w:hAnsi="Palatino Linotype"/>
          <w:color w:val="000000"/>
          <w:sz w:val="24"/>
          <w:szCs w:val="24"/>
        </w:rPr>
        <w:tab/>
        <w:t xml:space="preserve">di dare atto che il Regolamento Comunale </w:t>
      </w:r>
      <w:r w:rsidR="005760D9" w:rsidRPr="00C03BF2">
        <w:rPr>
          <w:rFonts w:ascii="Palatino Linotype" w:hAnsi="Palatino Linotype"/>
          <w:color w:val="000000"/>
          <w:sz w:val="24"/>
          <w:szCs w:val="24"/>
        </w:rPr>
        <w:t xml:space="preserve">entrerà in vigore </w:t>
      </w:r>
      <w:r w:rsidR="00281AAC" w:rsidRPr="00C03BF2">
        <w:rPr>
          <w:rFonts w:ascii="Palatino Linotype" w:hAnsi="Palatino Linotype"/>
          <w:color w:val="000000"/>
          <w:sz w:val="24"/>
          <w:szCs w:val="24"/>
        </w:rPr>
        <w:t>secondo le previsioni statutarie;</w:t>
      </w:r>
    </w:p>
    <w:p w14:paraId="06555A7F" w14:textId="77777777" w:rsidR="001301F3" w:rsidRPr="00C03BF2" w:rsidRDefault="001301F3" w:rsidP="002B7FAB">
      <w:pPr>
        <w:autoSpaceDE w:val="0"/>
        <w:autoSpaceDN w:val="0"/>
        <w:adjustRightInd w:val="0"/>
        <w:ind w:left="388" w:hanging="360"/>
        <w:jc w:val="both"/>
        <w:rPr>
          <w:rFonts w:ascii="Palatino Linotype" w:hAnsi="Palatino Linotype"/>
          <w:color w:val="000000"/>
          <w:sz w:val="24"/>
          <w:szCs w:val="24"/>
        </w:rPr>
      </w:pPr>
    </w:p>
    <w:p w14:paraId="6B868CC5" w14:textId="77777777" w:rsidR="00063EA5" w:rsidRPr="00C03BF2" w:rsidRDefault="001301F3" w:rsidP="002B7FAB">
      <w:pPr>
        <w:autoSpaceDE w:val="0"/>
        <w:autoSpaceDN w:val="0"/>
        <w:adjustRightInd w:val="0"/>
        <w:ind w:left="388" w:hanging="360"/>
        <w:jc w:val="both"/>
        <w:rPr>
          <w:rFonts w:ascii="Palatino Linotype" w:hAnsi="Palatino Linotype"/>
          <w:color w:val="000000"/>
          <w:sz w:val="24"/>
          <w:szCs w:val="24"/>
        </w:rPr>
      </w:pPr>
      <w:r w:rsidRPr="00C03BF2">
        <w:rPr>
          <w:rFonts w:ascii="Palatino Linotype" w:hAnsi="Palatino Linotype"/>
          <w:color w:val="000000"/>
          <w:sz w:val="24"/>
          <w:szCs w:val="24"/>
        </w:rPr>
        <w:t>3)</w:t>
      </w:r>
      <w:r w:rsidRPr="00C03BF2">
        <w:rPr>
          <w:rFonts w:ascii="Palatino Linotype" w:hAnsi="Palatino Linotype"/>
          <w:color w:val="000000"/>
          <w:sz w:val="24"/>
          <w:szCs w:val="24"/>
        </w:rPr>
        <w:tab/>
      </w:r>
      <w:r w:rsidR="00063EA5" w:rsidRPr="00C03BF2">
        <w:rPr>
          <w:rFonts w:ascii="Palatino Linotype" w:hAnsi="Palatino Linotype"/>
          <w:color w:val="000000"/>
          <w:sz w:val="24"/>
          <w:szCs w:val="24"/>
        </w:rPr>
        <w:t>di dare atto che gli orari di esercizio saranno stabiliti, nel rispetto di quanto previsto dal summenzionato Regolamento Comunale, con apposita ordinanza sindacale.</w:t>
      </w:r>
    </w:p>
    <w:p w14:paraId="4FD15B76" w14:textId="23D354F5" w:rsidR="001301F3" w:rsidRPr="00C03BF2" w:rsidRDefault="001301F3" w:rsidP="002B7FAB">
      <w:pPr>
        <w:autoSpaceDE w:val="0"/>
        <w:autoSpaceDN w:val="0"/>
        <w:adjustRightInd w:val="0"/>
        <w:ind w:left="388" w:hanging="360"/>
        <w:jc w:val="both"/>
        <w:rPr>
          <w:rFonts w:ascii="Palatino Linotype" w:hAnsi="Palatino Linotype"/>
          <w:color w:val="000000"/>
          <w:sz w:val="24"/>
          <w:szCs w:val="24"/>
        </w:rPr>
      </w:pPr>
    </w:p>
    <w:p w14:paraId="0764AF44" w14:textId="4F98769B" w:rsidR="001301F3" w:rsidRPr="00C03BF2" w:rsidRDefault="001301F3" w:rsidP="009C5247">
      <w:pPr>
        <w:autoSpaceDE w:val="0"/>
        <w:autoSpaceDN w:val="0"/>
        <w:adjustRightInd w:val="0"/>
        <w:ind w:left="388" w:hanging="360"/>
        <w:jc w:val="both"/>
        <w:rPr>
          <w:rFonts w:ascii="Palatino Linotype" w:hAnsi="Palatino Linotype"/>
          <w:color w:val="000000"/>
          <w:sz w:val="24"/>
          <w:szCs w:val="24"/>
        </w:rPr>
      </w:pPr>
      <w:r w:rsidRPr="00C03BF2">
        <w:rPr>
          <w:rFonts w:ascii="Palatino Linotype" w:hAnsi="Palatino Linotype"/>
          <w:color w:val="000000"/>
          <w:sz w:val="24"/>
          <w:szCs w:val="24"/>
        </w:rPr>
        <w:t>4)</w:t>
      </w:r>
      <w:r w:rsidRPr="00C03BF2">
        <w:rPr>
          <w:rFonts w:ascii="Palatino Linotype" w:hAnsi="Palatino Linotype"/>
          <w:color w:val="000000"/>
          <w:sz w:val="24"/>
          <w:szCs w:val="24"/>
        </w:rPr>
        <w:tab/>
      </w:r>
      <w:r w:rsidR="00063EA5" w:rsidRPr="00C03BF2">
        <w:rPr>
          <w:rFonts w:ascii="Palatino Linotype" w:hAnsi="Palatino Linotype"/>
          <w:color w:val="000000"/>
          <w:sz w:val="24"/>
          <w:szCs w:val="24"/>
        </w:rPr>
        <w:t>di dare mandato al competente Servizio di trasmettere copia del Regolamento approvato alla Prefettura</w:t>
      </w:r>
      <w:r w:rsidR="00C676A5" w:rsidRPr="00C03BF2">
        <w:rPr>
          <w:rFonts w:ascii="Palatino Linotype" w:hAnsi="Palatino Linotype"/>
          <w:color w:val="000000"/>
          <w:sz w:val="24"/>
          <w:szCs w:val="24"/>
        </w:rPr>
        <w:t xml:space="preserve"> e</w:t>
      </w:r>
      <w:r w:rsidR="00063EA5" w:rsidRPr="00C03BF2">
        <w:rPr>
          <w:rFonts w:ascii="Palatino Linotype" w:hAnsi="Palatino Linotype"/>
          <w:color w:val="000000"/>
          <w:sz w:val="24"/>
          <w:szCs w:val="24"/>
        </w:rPr>
        <w:t xml:space="preserve"> alla Questura di Treviso e all'Azienda ULSS 2 Marca Trevigiana;</w:t>
      </w:r>
    </w:p>
    <w:sectPr w:rsidR="001301F3" w:rsidRPr="00C03BF2" w:rsidSect="002E53A1">
      <w:pgSz w:w="12240" w:h="15840"/>
      <w:pgMar w:top="851" w:right="1134" w:bottom="851"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7262D"/>
    <w:multiLevelType w:val="hybridMultilevel"/>
    <w:tmpl w:val="95DC7CB0"/>
    <w:lvl w:ilvl="0" w:tplc="04100001">
      <w:start w:val="1"/>
      <w:numFmt w:val="bullet"/>
      <w:lvlText w:val=""/>
      <w:lvlJc w:val="left"/>
      <w:pPr>
        <w:ind w:left="1350" w:hanging="360"/>
      </w:pPr>
      <w:rPr>
        <w:rFonts w:ascii="Symbol" w:hAnsi="Symbol" w:hint="default"/>
      </w:rPr>
    </w:lvl>
    <w:lvl w:ilvl="1" w:tplc="04100003" w:tentative="1">
      <w:start w:val="1"/>
      <w:numFmt w:val="bullet"/>
      <w:lvlText w:val="o"/>
      <w:lvlJc w:val="left"/>
      <w:pPr>
        <w:ind w:left="2070" w:hanging="360"/>
      </w:pPr>
      <w:rPr>
        <w:rFonts w:ascii="Courier New" w:hAnsi="Courier New" w:cs="Courier New" w:hint="default"/>
      </w:rPr>
    </w:lvl>
    <w:lvl w:ilvl="2" w:tplc="04100005" w:tentative="1">
      <w:start w:val="1"/>
      <w:numFmt w:val="bullet"/>
      <w:lvlText w:val=""/>
      <w:lvlJc w:val="left"/>
      <w:pPr>
        <w:ind w:left="2790" w:hanging="360"/>
      </w:pPr>
      <w:rPr>
        <w:rFonts w:ascii="Wingdings" w:hAnsi="Wingdings" w:hint="default"/>
      </w:rPr>
    </w:lvl>
    <w:lvl w:ilvl="3" w:tplc="04100001" w:tentative="1">
      <w:start w:val="1"/>
      <w:numFmt w:val="bullet"/>
      <w:lvlText w:val=""/>
      <w:lvlJc w:val="left"/>
      <w:pPr>
        <w:ind w:left="3510" w:hanging="360"/>
      </w:pPr>
      <w:rPr>
        <w:rFonts w:ascii="Symbol" w:hAnsi="Symbol" w:hint="default"/>
      </w:rPr>
    </w:lvl>
    <w:lvl w:ilvl="4" w:tplc="04100003" w:tentative="1">
      <w:start w:val="1"/>
      <w:numFmt w:val="bullet"/>
      <w:lvlText w:val="o"/>
      <w:lvlJc w:val="left"/>
      <w:pPr>
        <w:ind w:left="4230" w:hanging="360"/>
      </w:pPr>
      <w:rPr>
        <w:rFonts w:ascii="Courier New" w:hAnsi="Courier New" w:cs="Courier New" w:hint="default"/>
      </w:rPr>
    </w:lvl>
    <w:lvl w:ilvl="5" w:tplc="04100005" w:tentative="1">
      <w:start w:val="1"/>
      <w:numFmt w:val="bullet"/>
      <w:lvlText w:val=""/>
      <w:lvlJc w:val="left"/>
      <w:pPr>
        <w:ind w:left="4950" w:hanging="360"/>
      </w:pPr>
      <w:rPr>
        <w:rFonts w:ascii="Wingdings" w:hAnsi="Wingdings" w:hint="default"/>
      </w:rPr>
    </w:lvl>
    <w:lvl w:ilvl="6" w:tplc="04100001" w:tentative="1">
      <w:start w:val="1"/>
      <w:numFmt w:val="bullet"/>
      <w:lvlText w:val=""/>
      <w:lvlJc w:val="left"/>
      <w:pPr>
        <w:ind w:left="5670" w:hanging="360"/>
      </w:pPr>
      <w:rPr>
        <w:rFonts w:ascii="Symbol" w:hAnsi="Symbol" w:hint="default"/>
      </w:rPr>
    </w:lvl>
    <w:lvl w:ilvl="7" w:tplc="04100003" w:tentative="1">
      <w:start w:val="1"/>
      <w:numFmt w:val="bullet"/>
      <w:lvlText w:val="o"/>
      <w:lvlJc w:val="left"/>
      <w:pPr>
        <w:ind w:left="6390" w:hanging="360"/>
      </w:pPr>
      <w:rPr>
        <w:rFonts w:ascii="Courier New" w:hAnsi="Courier New" w:cs="Courier New" w:hint="default"/>
      </w:rPr>
    </w:lvl>
    <w:lvl w:ilvl="8" w:tplc="04100005" w:tentative="1">
      <w:start w:val="1"/>
      <w:numFmt w:val="bullet"/>
      <w:lvlText w:val=""/>
      <w:lvlJc w:val="left"/>
      <w:pPr>
        <w:ind w:left="7110" w:hanging="360"/>
      </w:pPr>
      <w:rPr>
        <w:rFonts w:ascii="Wingdings" w:hAnsi="Wingdings" w:hint="default"/>
      </w:rPr>
    </w:lvl>
  </w:abstractNum>
  <w:abstractNum w:abstractNumId="1" w15:restartNumberingAfterBreak="0">
    <w:nsid w:val="14292442"/>
    <w:multiLevelType w:val="hybridMultilevel"/>
    <w:tmpl w:val="A4D030D8"/>
    <w:lvl w:ilvl="0" w:tplc="8C564F62">
      <w:start w:val="1"/>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BC485A"/>
    <w:multiLevelType w:val="hybridMultilevel"/>
    <w:tmpl w:val="C7AC87DC"/>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1E0D116E"/>
    <w:multiLevelType w:val="hybridMultilevel"/>
    <w:tmpl w:val="AEDCCC2E"/>
    <w:lvl w:ilvl="0" w:tplc="04100017">
      <w:start w:val="1"/>
      <w:numFmt w:val="lowerLetter"/>
      <w:lvlText w:val="%1)"/>
      <w:lvlJc w:val="left"/>
      <w:pPr>
        <w:ind w:left="1430" w:hanging="360"/>
      </w:p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4" w15:restartNumberingAfterBreak="0">
    <w:nsid w:val="21846E15"/>
    <w:multiLevelType w:val="hybridMultilevel"/>
    <w:tmpl w:val="D5A483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212018"/>
    <w:multiLevelType w:val="hybridMultilevel"/>
    <w:tmpl w:val="E648017C"/>
    <w:lvl w:ilvl="0" w:tplc="0410000F">
      <w:start w:val="1"/>
      <w:numFmt w:val="decimal"/>
      <w:lvlText w:val="%1."/>
      <w:lvlJc w:val="left"/>
      <w:pPr>
        <w:ind w:left="388" w:hanging="360"/>
      </w:pPr>
      <w:rPr>
        <w:rFonts w:hint="default"/>
        <w:i w:val="0"/>
      </w:rPr>
    </w:lvl>
    <w:lvl w:ilvl="1" w:tplc="04100003" w:tentative="1">
      <w:start w:val="1"/>
      <w:numFmt w:val="bullet"/>
      <w:lvlText w:val="o"/>
      <w:lvlJc w:val="left"/>
      <w:pPr>
        <w:ind w:left="1108" w:hanging="360"/>
      </w:pPr>
      <w:rPr>
        <w:rFonts w:ascii="Courier New" w:hAnsi="Courier New" w:cs="Courier New" w:hint="default"/>
      </w:rPr>
    </w:lvl>
    <w:lvl w:ilvl="2" w:tplc="04100005" w:tentative="1">
      <w:start w:val="1"/>
      <w:numFmt w:val="bullet"/>
      <w:lvlText w:val=""/>
      <w:lvlJc w:val="left"/>
      <w:pPr>
        <w:ind w:left="1828" w:hanging="360"/>
      </w:pPr>
      <w:rPr>
        <w:rFonts w:ascii="Wingdings" w:hAnsi="Wingdings" w:hint="default"/>
      </w:rPr>
    </w:lvl>
    <w:lvl w:ilvl="3" w:tplc="04100001" w:tentative="1">
      <w:start w:val="1"/>
      <w:numFmt w:val="bullet"/>
      <w:lvlText w:val=""/>
      <w:lvlJc w:val="left"/>
      <w:pPr>
        <w:ind w:left="2548" w:hanging="360"/>
      </w:pPr>
      <w:rPr>
        <w:rFonts w:ascii="Symbol" w:hAnsi="Symbol" w:hint="default"/>
      </w:rPr>
    </w:lvl>
    <w:lvl w:ilvl="4" w:tplc="04100003" w:tentative="1">
      <w:start w:val="1"/>
      <w:numFmt w:val="bullet"/>
      <w:lvlText w:val="o"/>
      <w:lvlJc w:val="left"/>
      <w:pPr>
        <w:ind w:left="3268" w:hanging="360"/>
      </w:pPr>
      <w:rPr>
        <w:rFonts w:ascii="Courier New" w:hAnsi="Courier New" w:cs="Courier New" w:hint="default"/>
      </w:rPr>
    </w:lvl>
    <w:lvl w:ilvl="5" w:tplc="04100005" w:tentative="1">
      <w:start w:val="1"/>
      <w:numFmt w:val="bullet"/>
      <w:lvlText w:val=""/>
      <w:lvlJc w:val="left"/>
      <w:pPr>
        <w:ind w:left="3988" w:hanging="360"/>
      </w:pPr>
      <w:rPr>
        <w:rFonts w:ascii="Wingdings" w:hAnsi="Wingdings" w:hint="default"/>
      </w:rPr>
    </w:lvl>
    <w:lvl w:ilvl="6" w:tplc="04100001" w:tentative="1">
      <w:start w:val="1"/>
      <w:numFmt w:val="bullet"/>
      <w:lvlText w:val=""/>
      <w:lvlJc w:val="left"/>
      <w:pPr>
        <w:ind w:left="4708" w:hanging="360"/>
      </w:pPr>
      <w:rPr>
        <w:rFonts w:ascii="Symbol" w:hAnsi="Symbol" w:hint="default"/>
      </w:rPr>
    </w:lvl>
    <w:lvl w:ilvl="7" w:tplc="04100003" w:tentative="1">
      <w:start w:val="1"/>
      <w:numFmt w:val="bullet"/>
      <w:lvlText w:val="o"/>
      <w:lvlJc w:val="left"/>
      <w:pPr>
        <w:ind w:left="5428" w:hanging="360"/>
      </w:pPr>
      <w:rPr>
        <w:rFonts w:ascii="Courier New" w:hAnsi="Courier New" w:cs="Courier New" w:hint="default"/>
      </w:rPr>
    </w:lvl>
    <w:lvl w:ilvl="8" w:tplc="04100005" w:tentative="1">
      <w:start w:val="1"/>
      <w:numFmt w:val="bullet"/>
      <w:lvlText w:val=""/>
      <w:lvlJc w:val="left"/>
      <w:pPr>
        <w:ind w:left="6148" w:hanging="360"/>
      </w:pPr>
      <w:rPr>
        <w:rFonts w:ascii="Wingdings" w:hAnsi="Wingdings" w:hint="default"/>
      </w:rPr>
    </w:lvl>
  </w:abstractNum>
  <w:abstractNum w:abstractNumId="6" w15:restartNumberingAfterBreak="0">
    <w:nsid w:val="2C3B1BA7"/>
    <w:multiLevelType w:val="hybridMultilevel"/>
    <w:tmpl w:val="0B10DD78"/>
    <w:lvl w:ilvl="0" w:tplc="8C564F62">
      <w:start w:val="1"/>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04746F"/>
    <w:multiLevelType w:val="hybridMultilevel"/>
    <w:tmpl w:val="D3980B40"/>
    <w:lvl w:ilvl="0" w:tplc="E0D49E88">
      <w:start w:val="1"/>
      <w:numFmt w:val="upperLetter"/>
      <w:lvlText w:val="%1."/>
      <w:lvlJc w:val="left"/>
      <w:pPr>
        <w:ind w:left="3196" w:hanging="360"/>
      </w:pPr>
      <w:rPr>
        <w:b/>
      </w:rPr>
    </w:lvl>
    <w:lvl w:ilvl="1" w:tplc="04100019" w:tentative="1">
      <w:start w:val="1"/>
      <w:numFmt w:val="lowerLetter"/>
      <w:lvlText w:val="%2."/>
      <w:lvlJc w:val="left"/>
      <w:pPr>
        <w:ind w:left="3916" w:hanging="360"/>
      </w:pPr>
    </w:lvl>
    <w:lvl w:ilvl="2" w:tplc="0410001B" w:tentative="1">
      <w:start w:val="1"/>
      <w:numFmt w:val="lowerRoman"/>
      <w:lvlText w:val="%3."/>
      <w:lvlJc w:val="right"/>
      <w:pPr>
        <w:ind w:left="4636" w:hanging="180"/>
      </w:pPr>
    </w:lvl>
    <w:lvl w:ilvl="3" w:tplc="0410000F" w:tentative="1">
      <w:start w:val="1"/>
      <w:numFmt w:val="decimal"/>
      <w:lvlText w:val="%4."/>
      <w:lvlJc w:val="left"/>
      <w:pPr>
        <w:ind w:left="5356" w:hanging="360"/>
      </w:pPr>
    </w:lvl>
    <w:lvl w:ilvl="4" w:tplc="04100019" w:tentative="1">
      <w:start w:val="1"/>
      <w:numFmt w:val="lowerLetter"/>
      <w:lvlText w:val="%5."/>
      <w:lvlJc w:val="left"/>
      <w:pPr>
        <w:ind w:left="6076" w:hanging="360"/>
      </w:pPr>
    </w:lvl>
    <w:lvl w:ilvl="5" w:tplc="0410001B" w:tentative="1">
      <w:start w:val="1"/>
      <w:numFmt w:val="lowerRoman"/>
      <w:lvlText w:val="%6."/>
      <w:lvlJc w:val="right"/>
      <w:pPr>
        <w:ind w:left="6796" w:hanging="180"/>
      </w:pPr>
    </w:lvl>
    <w:lvl w:ilvl="6" w:tplc="0410000F" w:tentative="1">
      <w:start w:val="1"/>
      <w:numFmt w:val="decimal"/>
      <w:lvlText w:val="%7."/>
      <w:lvlJc w:val="left"/>
      <w:pPr>
        <w:ind w:left="7516" w:hanging="360"/>
      </w:pPr>
    </w:lvl>
    <w:lvl w:ilvl="7" w:tplc="04100019" w:tentative="1">
      <w:start w:val="1"/>
      <w:numFmt w:val="lowerLetter"/>
      <w:lvlText w:val="%8."/>
      <w:lvlJc w:val="left"/>
      <w:pPr>
        <w:ind w:left="8236" w:hanging="360"/>
      </w:pPr>
    </w:lvl>
    <w:lvl w:ilvl="8" w:tplc="0410001B" w:tentative="1">
      <w:start w:val="1"/>
      <w:numFmt w:val="lowerRoman"/>
      <w:lvlText w:val="%9."/>
      <w:lvlJc w:val="right"/>
      <w:pPr>
        <w:ind w:left="8956" w:hanging="180"/>
      </w:pPr>
    </w:lvl>
  </w:abstractNum>
  <w:abstractNum w:abstractNumId="8" w15:restartNumberingAfterBreak="0">
    <w:nsid w:val="408A3411"/>
    <w:multiLevelType w:val="hybridMultilevel"/>
    <w:tmpl w:val="58EE2F7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61478E3"/>
    <w:multiLevelType w:val="hybridMultilevel"/>
    <w:tmpl w:val="9CD8B920"/>
    <w:lvl w:ilvl="0" w:tplc="6030AE6A">
      <w:start w:val="1"/>
      <w:numFmt w:val="lowerLetter"/>
      <w:lvlText w:val="%1)"/>
      <w:lvlJc w:val="left"/>
      <w:pPr>
        <w:ind w:left="1129" w:hanging="360"/>
      </w:pPr>
      <w:rPr>
        <w:rFonts w:hint="default"/>
      </w:rPr>
    </w:lvl>
    <w:lvl w:ilvl="1" w:tplc="04100019" w:tentative="1">
      <w:start w:val="1"/>
      <w:numFmt w:val="lowerLetter"/>
      <w:lvlText w:val="%2."/>
      <w:lvlJc w:val="left"/>
      <w:pPr>
        <w:ind w:left="1849" w:hanging="360"/>
      </w:pPr>
    </w:lvl>
    <w:lvl w:ilvl="2" w:tplc="0410001B" w:tentative="1">
      <w:start w:val="1"/>
      <w:numFmt w:val="lowerRoman"/>
      <w:lvlText w:val="%3."/>
      <w:lvlJc w:val="right"/>
      <w:pPr>
        <w:ind w:left="2569" w:hanging="180"/>
      </w:pPr>
    </w:lvl>
    <w:lvl w:ilvl="3" w:tplc="0410000F" w:tentative="1">
      <w:start w:val="1"/>
      <w:numFmt w:val="decimal"/>
      <w:lvlText w:val="%4."/>
      <w:lvlJc w:val="left"/>
      <w:pPr>
        <w:ind w:left="3289" w:hanging="360"/>
      </w:pPr>
    </w:lvl>
    <w:lvl w:ilvl="4" w:tplc="04100019" w:tentative="1">
      <w:start w:val="1"/>
      <w:numFmt w:val="lowerLetter"/>
      <w:lvlText w:val="%5."/>
      <w:lvlJc w:val="left"/>
      <w:pPr>
        <w:ind w:left="4009" w:hanging="360"/>
      </w:pPr>
    </w:lvl>
    <w:lvl w:ilvl="5" w:tplc="0410001B" w:tentative="1">
      <w:start w:val="1"/>
      <w:numFmt w:val="lowerRoman"/>
      <w:lvlText w:val="%6."/>
      <w:lvlJc w:val="right"/>
      <w:pPr>
        <w:ind w:left="4729" w:hanging="180"/>
      </w:pPr>
    </w:lvl>
    <w:lvl w:ilvl="6" w:tplc="0410000F" w:tentative="1">
      <w:start w:val="1"/>
      <w:numFmt w:val="decimal"/>
      <w:lvlText w:val="%7."/>
      <w:lvlJc w:val="left"/>
      <w:pPr>
        <w:ind w:left="5449" w:hanging="360"/>
      </w:pPr>
    </w:lvl>
    <w:lvl w:ilvl="7" w:tplc="04100019" w:tentative="1">
      <w:start w:val="1"/>
      <w:numFmt w:val="lowerLetter"/>
      <w:lvlText w:val="%8."/>
      <w:lvlJc w:val="left"/>
      <w:pPr>
        <w:ind w:left="6169" w:hanging="360"/>
      </w:pPr>
    </w:lvl>
    <w:lvl w:ilvl="8" w:tplc="0410001B" w:tentative="1">
      <w:start w:val="1"/>
      <w:numFmt w:val="lowerRoman"/>
      <w:lvlText w:val="%9."/>
      <w:lvlJc w:val="right"/>
      <w:pPr>
        <w:ind w:left="6889" w:hanging="180"/>
      </w:pPr>
    </w:lvl>
  </w:abstractNum>
  <w:abstractNum w:abstractNumId="10" w15:restartNumberingAfterBreak="0">
    <w:nsid w:val="61956A9E"/>
    <w:multiLevelType w:val="hybridMultilevel"/>
    <w:tmpl w:val="BB0084A0"/>
    <w:lvl w:ilvl="0" w:tplc="8C564F62">
      <w:start w:val="1"/>
      <w:numFmt w:val="bullet"/>
      <w:lvlText w:val="-"/>
      <w:lvlJc w:val="left"/>
      <w:pPr>
        <w:ind w:left="388" w:hanging="360"/>
      </w:pPr>
      <w:rPr>
        <w:rFonts w:ascii="Times New Roman" w:eastAsia="Calibri" w:hAnsi="Times New Roman" w:cs="Times New Roman" w:hint="default"/>
        <w:i w:val="0"/>
      </w:rPr>
    </w:lvl>
    <w:lvl w:ilvl="1" w:tplc="04100003" w:tentative="1">
      <w:start w:val="1"/>
      <w:numFmt w:val="bullet"/>
      <w:lvlText w:val="o"/>
      <w:lvlJc w:val="left"/>
      <w:pPr>
        <w:ind w:left="1108" w:hanging="360"/>
      </w:pPr>
      <w:rPr>
        <w:rFonts w:ascii="Courier New" w:hAnsi="Courier New" w:cs="Courier New" w:hint="default"/>
      </w:rPr>
    </w:lvl>
    <w:lvl w:ilvl="2" w:tplc="04100005" w:tentative="1">
      <w:start w:val="1"/>
      <w:numFmt w:val="bullet"/>
      <w:lvlText w:val=""/>
      <w:lvlJc w:val="left"/>
      <w:pPr>
        <w:ind w:left="1828" w:hanging="360"/>
      </w:pPr>
      <w:rPr>
        <w:rFonts w:ascii="Wingdings" w:hAnsi="Wingdings" w:hint="default"/>
      </w:rPr>
    </w:lvl>
    <w:lvl w:ilvl="3" w:tplc="04100001" w:tentative="1">
      <w:start w:val="1"/>
      <w:numFmt w:val="bullet"/>
      <w:lvlText w:val=""/>
      <w:lvlJc w:val="left"/>
      <w:pPr>
        <w:ind w:left="2548" w:hanging="360"/>
      </w:pPr>
      <w:rPr>
        <w:rFonts w:ascii="Symbol" w:hAnsi="Symbol" w:hint="default"/>
      </w:rPr>
    </w:lvl>
    <w:lvl w:ilvl="4" w:tplc="04100003" w:tentative="1">
      <w:start w:val="1"/>
      <w:numFmt w:val="bullet"/>
      <w:lvlText w:val="o"/>
      <w:lvlJc w:val="left"/>
      <w:pPr>
        <w:ind w:left="3268" w:hanging="360"/>
      </w:pPr>
      <w:rPr>
        <w:rFonts w:ascii="Courier New" w:hAnsi="Courier New" w:cs="Courier New" w:hint="default"/>
      </w:rPr>
    </w:lvl>
    <w:lvl w:ilvl="5" w:tplc="04100005" w:tentative="1">
      <w:start w:val="1"/>
      <w:numFmt w:val="bullet"/>
      <w:lvlText w:val=""/>
      <w:lvlJc w:val="left"/>
      <w:pPr>
        <w:ind w:left="3988" w:hanging="360"/>
      </w:pPr>
      <w:rPr>
        <w:rFonts w:ascii="Wingdings" w:hAnsi="Wingdings" w:hint="default"/>
      </w:rPr>
    </w:lvl>
    <w:lvl w:ilvl="6" w:tplc="04100001" w:tentative="1">
      <w:start w:val="1"/>
      <w:numFmt w:val="bullet"/>
      <w:lvlText w:val=""/>
      <w:lvlJc w:val="left"/>
      <w:pPr>
        <w:ind w:left="4708" w:hanging="360"/>
      </w:pPr>
      <w:rPr>
        <w:rFonts w:ascii="Symbol" w:hAnsi="Symbol" w:hint="default"/>
      </w:rPr>
    </w:lvl>
    <w:lvl w:ilvl="7" w:tplc="04100003" w:tentative="1">
      <w:start w:val="1"/>
      <w:numFmt w:val="bullet"/>
      <w:lvlText w:val="o"/>
      <w:lvlJc w:val="left"/>
      <w:pPr>
        <w:ind w:left="5428" w:hanging="360"/>
      </w:pPr>
      <w:rPr>
        <w:rFonts w:ascii="Courier New" w:hAnsi="Courier New" w:cs="Courier New" w:hint="default"/>
      </w:rPr>
    </w:lvl>
    <w:lvl w:ilvl="8" w:tplc="04100005" w:tentative="1">
      <w:start w:val="1"/>
      <w:numFmt w:val="bullet"/>
      <w:lvlText w:val=""/>
      <w:lvlJc w:val="left"/>
      <w:pPr>
        <w:ind w:left="6148" w:hanging="360"/>
      </w:pPr>
      <w:rPr>
        <w:rFonts w:ascii="Wingdings" w:hAnsi="Wingdings" w:hint="default"/>
      </w:rPr>
    </w:lvl>
  </w:abstractNum>
  <w:abstractNum w:abstractNumId="11" w15:restartNumberingAfterBreak="0">
    <w:nsid w:val="6AF03C36"/>
    <w:multiLevelType w:val="hybridMultilevel"/>
    <w:tmpl w:val="BDB4377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6FCB1DB3"/>
    <w:multiLevelType w:val="hybridMultilevel"/>
    <w:tmpl w:val="1F9CF94E"/>
    <w:lvl w:ilvl="0" w:tplc="4D9016DA">
      <w:numFmt w:val="bullet"/>
      <w:lvlText w:val="-"/>
      <w:lvlJc w:val="left"/>
      <w:pPr>
        <w:ind w:left="644" w:hanging="360"/>
      </w:pPr>
      <w:rPr>
        <w:rFonts w:ascii="Times New Roman" w:eastAsia="Calibr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3" w15:restartNumberingAfterBreak="0">
    <w:nsid w:val="74827D75"/>
    <w:multiLevelType w:val="hybridMultilevel"/>
    <w:tmpl w:val="6A9EBE44"/>
    <w:lvl w:ilvl="0" w:tplc="8C564F62">
      <w:start w:val="1"/>
      <w:numFmt w:val="bullet"/>
      <w:lvlText w:val="-"/>
      <w:lvlJc w:val="left"/>
      <w:pPr>
        <w:ind w:left="748" w:hanging="360"/>
      </w:pPr>
      <w:rPr>
        <w:rFonts w:ascii="Times New Roman" w:eastAsia="Calibri" w:hAnsi="Times New Roman" w:cs="Times New Roman" w:hint="default"/>
        <w:i w:val="0"/>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abstractNum w:abstractNumId="14" w15:restartNumberingAfterBreak="0">
    <w:nsid w:val="77ED019F"/>
    <w:multiLevelType w:val="hybridMultilevel"/>
    <w:tmpl w:val="C4B61CDC"/>
    <w:lvl w:ilvl="0" w:tplc="8C564F62">
      <w:start w:val="1"/>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1"/>
  </w:num>
  <w:num w:numId="4">
    <w:abstractNumId w:val="2"/>
  </w:num>
  <w:num w:numId="5">
    <w:abstractNumId w:val="7"/>
  </w:num>
  <w:num w:numId="6">
    <w:abstractNumId w:val="12"/>
  </w:num>
  <w:num w:numId="7">
    <w:abstractNumId w:val="5"/>
  </w:num>
  <w:num w:numId="8">
    <w:abstractNumId w:val="0"/>
  </w:num>
  <w:num w:numId="9">
    <w:abstractNumId w:val="4"/>
  </w:num>
  <w:num w:numId="10">
    <w:abstractNumId w:val="13"/>
  </w:num>
  <w:num w:numId="11">
    <w:abstractNumId w:val="1"/>
  </w:num>
  <w:num w:numId="12">
    <w:abstractNumId w:val="9"/>
  </w:num>
  <w:num w:numId="13">
    <w:abstractNumId w:val="3"/>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FF6128"/>
    <w:rsid w:val="000005F2"/>
    <w:rsid w:val="00002433"/>
    <w:rsid w:val="0000377D"/>
    <w:rsid w:val="000105FB"/>
    <w:rsid w:val="00010F31"/>
    <w:rsid w:val="000175F7"/>
    <w:rsid w:val="00025536"/>
    <w:rsid w:val="00025DCD"/>
    <w:rsid w:val="000310E8"/>
    <w:rsid w:val="000359B1"/>
    <w:rsid w:val="000431AD"/>
    <w:rsid w:val="00052EEC"/>
    <w:rsid w:val="00055495"/>
    <w:rsid w:val="00056767"/>
    <w:rsid w:val="00060CE7"/>
    <w:rsid w:val="00061497"/>
    <w:rsid w:val="00063EA5"/>
    <w:rsid w:val="0007235F"/>
    <w:rsid w:val="0007637F"/>
    <w:rsid w:val="00076E99"/>
    <w:rsid w:val="00077C67"/>
    <w:rsid w:val="00085CFA"/>
    <w:rsid w:val="00087AA7"/>
    <w:rsid w:val="0009152B"/>
    <w:rsid w:val="00095F1E"/>
    <w:rsid w:val="00096228"/>
    <w:rsid w:val="000A27BF"/>
    <w:rsid w:val="000A6066"/>
    <w:rsid w:val="000A71F8"/>
    <w:rsid w:val="000B0BB2"/>
    <w:rsid w:val="000B6915"/>
    <w:rsid w:val="000C2D74"/>
    <w:rsid w:val="000D06F5"/>
    <w:rsid w:val="000D2526"/>
    <w:rsid w:val="000D5319"/>
    <w:rsid w:val="000E1B89"/>
    <w:rsid w:val="000E2236"/>
    <w:rsid w:val="000E2B0E"/>
    <w:rsid w:val="000E62B4"/>
    <w:rsid w:val="000F03A2"/>
    <w:rsid w:val="000F1671"/>
    <w:rsid w:val="000F6232"/>
    <w:rsid w:val="001065BD"/>
    <w:rsid w:val="0011716C"/>
    <w:rsid w:val="00123DEB"/>
    <w:rsid w:val="001241B2"/>
    <w:rsid w:val="001301F3"/>
    <w:rsid w:val="00137939"/>
    <w:rsid w:val="001411F3"/>
    <w:rsid w:val="00144C8B"/>
    <w:rsid w:val="0014715E"/>
    <w:rsid w:val="00162B20"/>
    <w:rsid w:val="00185648"/>
    <w:rsid w:val="00196C5B"/>
    <w:rsid w:val="001A6DB3"/>
    <w:rsid w:val="001C317D"/>
    <w:rsid w:val="001C5386"/>
    <w:rsid w:val="001D0FE5"/>
    <w:rsid w:val="001D270E"/>
    <w:rsid w:val="001D3E19"/>
    <w:rsid w:val="001D4FF1"/>
    <w:rsid w:val="001E1324"/>
    <w:rsid w:val="001E1831"/>
    <w:rsid w:val="001E453A"/>
    <w:rsid w:val="001E6380"/>
    <w:rsid w:val="001E77C3"/>
    <w:rsid w:val="00213645"/>
    <w:rsid w:val="00216086"/>
    <w:rsid w:val="00224E06"/>
    <w:rsid w:val="00232877"/>
    <w:rsid w:val="0024044D"/>
    <w:rsid w:val="00245DA0"/>
    <w:rsid w:val="00255201"/>
    <w:rsid w:val="002719F8"/>
    <w:rsid w:val="002736C1"/>
    <w:rsid w:val="002739E3"/>
    <w:rsid w:val="00281AAC"/>
    <w:rsid w:val="0028660C"/>
    <w:rsid w:val="00287FDB"/>
    <w:rsid w:val="002A5786"/>
    <w:rsid w:val="002B7317"/>
    <w:rsid w:val="002B7FAB"/>
    <w:rsid w:val="002C5907"/>
    <w:rsid w:val="002C7B92"/>
    <w:rsid w:val="002C7D32"/>
    <w:rsid w:val="002D4DE0"/>
    <w:rsid w:val="002D5762"/>
    <w:rsid w:val="002E53A1"/>
    <w:rsid w:val="002E7403"/>
    <w:rsid w:val="002E76E6"/>
    <w:rsid w:val="002F1023"/>
    <w:rsid w:val="002F2857"/>
    <w:rsid w:val="00303468"/>
    <w:rsid w:val="003048BA"/>
    <w:rsid w:val="003219FE"/>
    <w:rsid w:val="0032447B"/>
    <w:rsid w:val="003245A0"/>
    <w:rsid w:val="00325537"/>
    <w:rsid w:val="003318E2"/>
    <w:rsid w:val="00335A19"/>
    <w:rsid w:val="00335A81"/>
    <w:rsid w:val="00342430"/>
    <w:rsid w:val="0035164C"/>
    <w:rsid w:val="00353A98"/>
    <w:rsid w:val="0036755D"/>
    <w:rsid w:val="00367F7E"/>
    <w:rsid w:val="00372AD5"/>
    <w:rsid w:val="00397B81"/>
    <w:rsid w:val="003A0C32"/>
    <w:rsid w:val="003A3B4F"/>
    <w:rsid w:val="003A5F0C"/>
    <w:rsid w:val="003B3CC9"/>
    <w:rsid w:val="003B5801"/>
    <w:rsid w:val="003C7B5C"/>
    <w:rsid w:val="003E1C48"/>
    <w:rsid w:val="003E7BE2"/>
    <w:rsid w:val="004017E5"/>
    <w:rsid w:val="004138FF"/>
    <w:rsid w:val="004204AF"/>
    <w:rsid w:val="00420F59"/>
    <w:rsid w:val="00423AAE"/>
    <w:rsid w:val="004324D7"/>
    <w:rsid w:val="00435998"/>
    <w:rsid w:val="00442AD0"/>
    <w:rsid w:val="00446958"/>
    <w:rsid w:val="004470FB"/>
    <w:rsid w:val="0045597F"/>
    <w:rsid w:val="004560D8"/>
    <w:rsid w:val="0045666B"/>
    <w:rsid w:val="0046008D"/>
    <w:rsid w:val="0046514E"/>
    <w:rsid w:val="00466617"/>
    <w:rsid w:val="00473460"/>
    <w:rsid w:val="004758F5"/>
    <w:rsid w:val="00490531"/>
    <w:rsid w:val="00492DE7"/>
    <w:rsid w:val="00497C58"/>
    <w:rsid w:val="004B56E3"/>
    <w:rsid w:val="004C37DD"/>
    <w:rsid w:val="004C5AB9"/>
    <w:rsid w:val="004D0E0F"/>
    <w:rsid w:val="004D29BE"/>
    <w:rsid w:val="004E4E50"/>
    <w:rsid w:val="004F1D0E"/>
    <w:rsid w:val="00504A63"/>
    <w:rsid w:val="00506F48"/>
    <w:rsid w:val="00510C1F"/>
    <w:rsid w:val="0051757E"/>
    <w:rsid w:val="0053652C"/>
    <w:rsid w:val="005474BD"/>
    <w:rsid w:val="00551EAB"/>
    <w:rsid w:val="00553693"/>
    <w:rsid w:val="00555E74"/>
    <w:rsid w:val="00560F5D"/>
    <w:rsid w:val="00562352"/>
    <w:rsid w:val="00567267"/>
    <w:rsid w:val="005727BD"/>
    <w:rsid w:val="005760D9"/>
    <w:rsid w:val="00576316"/>
    <w:rsid w:val="00577F44"/>
    <w:rsid w:val="005806E0"/>
    <w:rsid w:val="00584DB7"/>
    <w:rsid w:val="00596DE9"/>
    <w:rsid w:val="005A16B4"/>
    <w:rsid w:val="005B6185"/>
    <w:rsid w:val="005C1B5F"/>
    <w:rsid w:val="005C4818"/>
    <w:rsid w:val="005D1D0B"/>
    <w:rsid w:val="005D2A1C"/>
    <w:rsid w:val="005D3AEA"/>
    <w:rsid w:val="005D5F12"/>
    <w:rsid w:val="005E2BC3"/>
    <w:rsid w:val="005E4677"/>
    <w:rsid w:val="005E487B"/>
    <w:rsid w:val="005E6175"/>
    <w:rsid w:val="005F07D2"/>
    <w:rsid w:val="005F6CEE"/>
    <w:rsid w:val="006016C7"/>
    <w:rsid w:val="00611313"/>
    <w:rsid w:val="00620780"/>
    <w:rsid w:val="0062247D"/>
    <w:rsid w:val="006236EC"/>
    <w:rsid w:val="00630C6C"/>
    <w:rsid w:val="00647380"/>
    <w:rsid w:val="006513BC"/>
    <w:rsid w:val="00663E73"/>
    <w:rsid w:val="00665A6D"/>
    <w:rsid w:val="006714F2"/>
    <w:rsid w:val="00677D4A"/>
    <w:rsid w:val="00686021"/>
    <w:rsid w:val="00690682"/>
    <w:rsid w:val="00692993"/>
    <w:rsid w:val="00694BBF"/>
    <w:rsid w:val="006A36CD"/>
    <w:rsid w:val="006B2D26"/>
    <w:rsid w:val="006B5DED"/>
    <w:rsid w:val="006C5CCD"/>
    <w:rsid w:val="006D0D92"/>
    <w:rsid w:val="006E5564"/>
    <w:rsid w:val="006F1D07"/>
    <w:rsid w:val="006F5F3E"/>
    <w:rsid w:val="007035F8"/>
    <w:rsid w:val="007040D4"/>
    <w:rsid w:val="007072D3"/>
    <w:rsid w:val="00711913"/>
    <w:rsid w:val="007142C6"/>
    <w:rsid w:val="00720FCD"/>
    <w:rsid w:val="0074227F"/>
    <w:rsid w:val="0074342B"/>
    <w:rsid w:val="00744B64"/>
    <w:rsid w:val="00744E74"/>
    <w:rsid w:val="0075611B"/>
    <w:rsid w:val="00760DF5"/>
    <w:rsid w:val="007723BD"/>
    <w:rsid w:val="007754A4"/>
    <w:rsid w:val="007755C0"/>
    <w:rsid w:val="00780BFA"/>
    <w:rsid w:val="00782683"/>
    <w:rsid w:val="007A4321"/>
    <w:rsid w:val="007C2273"/>
    <w:rsid w:val="007C7761"/>
    <w:rsid w:val="007D21C3"/>
    <w:rsid w:val="007E07F3"/>
    <w:rsid w:val="007E488A"/>
    <w:rsid w:val="007E61EA"/>
    <w:rsid w:val="007F238D"/>
    <w:rsid w:val="007F257A"/>
    <w:rsid w:val="007F4C93"/>
    <w:rsid w:val="00804303"/>
    <w:rsid w:val="008168E5"/>
    <w:rsid w:val="00820FE5"/>
    <w:rsid w:val="0082113C"/>
    <w:rsid w:val="0082204D"/>
    <w:rsid w:val="0082250E"/>
    <w:rsid w:val="00822945"/>
    <w:rsid w:val="00831EAF"/>
    <w:rsid w:val="00840B16"/>
    <w:rsid w:val="00842084"/>
    <w:rsid w:val="0084445B"/>
    <w:rsid w:val="00845DE7"/>
    <w:rsid w:val="00857387"/>
    <w:rsid w:val="00860FF6"/>
    <w:rsid w:val="00886E03"/>
    <w:rsid w:val="008874D7"/>
    <w:rsid w:val="00892E85"/>
    <w:rsid w:val="00893F18"/>
    <w:rsid w:val="008975E1"/>
    <w:rsid w:val="008A2CF1"/>
    <w:rsid w:val="008A61DC"/>
    <w:rsid w:val="008B11BB"/>
    <w:rsid w:val="008C142D"/>
    <w:rsid w:val="008C5185"/>
    <w:rsid w:val="008D078B"/>
    <w:rsid w:val="008D18DC"/>
    <w:rsid w:val="008D1F61"/>
    <w:rsid w:val="008E2013"/>
    <w:rsid w:val="008E5480"/>
    <w:rsid w:val="008E6AD3"/>
    <w:rsid w:val="00905B90"/>
    <w:rsid w:val="00906218"/>
    <w:rsid w:val="00912A9C"/>
    <w:rsid w:val="00913922"/>
    <w:rsid w:val="009153AF"/>
    <w:rsid w:val="00915637"/>
    <w:rsid w:val="00915CA3"/>
    <w:rsid w:val="0092416D"/>
    <w:rsid w:val="009327A9"/>
    <w:rsid w:val="00941783"/>
    <w:rsid w:val="00943541"/>
    <w:rsid w:val="00950045"/>
    <w:rsid w:val="009501FE"/>
    <w:rsid w:val="0095219C"/>
    <w:rsid w:val="00954874"/>
    <w:rsid w:val="00966D00"/>
    <w:rsid w:val="00974045"/>
    <w:rsid w:val="0097695F"/>
    <w:rsid w:val="009874B9"/>
    <w:rsid w:val="009925AF"/>
    <w:rsid w:val="009B20A1"/>
    <w:rsid w:val="009B4EC4"/>
    <w:rsid w:val="009C0091"/>
    <w:rsid w:val="009C15B8"/>
    <w:rsid w:val="009C5247"/>
    <w:rsid w:val="009D095A"/>
    <w:rsid w:val="009D1D48"/>
    <w:rsid w:val="009D5A32"/>
    <w:rsid w:val="009D5A74"/>
    <w:rsid w:val="009E22F7"/>
    <w:rsid w:val="009E6393"/>
    <w:rsid w:val="00A0251A"/>
    <w:rsid w:val="00A07AAD"/>
    <w:rsid w:val="00A11B0F"/>
    <w:rsid w:val="00A30148"/>
    <w:rsid w:val="00A4061B"/>
    <w:rsid w:val="00A50AB6"/>
    <w:rsid w:val="00A67B1A"/>
    <w:rsid w:val="00A753CE"/>
    <w:rsid w:val="00A75B4D"/>
    <w:rsid w:val="00AA491A"/>
    <w:rsid w:val="00AA7BC6"/>
    <w:rsid w:val="00AC22D3"/>
    <w:rsid w:val="00AC3E1C"/>
    <w:rsid w:val="00AC7244"/>
    <w:rsid w:val="00AD428C"/>
    <w:rsid w:val="00AD4D8A"/>
    <w:rsid w:val="00AE2125"/>
    <w:rsid w:val="00AE63A4"/>
    <w:rsid w:val="00AF059E"/>
    <w:rsid w:val="00AF0B10"/>
    <w:rsid w:val="00AF12D3"/>
    <w:rsid w:val="00AF30CA"/>
    <w:rsid w:val="00B01C68"/>
    <w:rsid w:val="00B05AB1"/>
    <w:rsid w:val="00B26420"/>
    <w:rsid w:val="00B3559D"/>
    <w:rsid w:val="00B411D6"/>
    <w:rsid w:val="00B414F0"/>
    <w:rsid w:val="00B457EA"/>
    <w:rsid w:val="00B53F50"/>
    <w:rsid w:val="00B548E0"/>
    <w:rsid w:val="00B55D1C"/>
    <w:rsid w:val="00B56527"/>
    <w:rsid w:val="00B57ED6"/>
    <w:rsid w:val="00B625A1"/>
    <w:rsid w:val="00B62C01"/>
    <w:rsid w:val="00B63208"/>
    <w:rsid w:val="00B63577"/>
    <w:rsid w:val="00B66520"/>
    <w:rsid w:val="00B67BB2"/>
    <w:rsid w:val="00B81C5E"/>
    <w:rsid w:val="00B81DC7"/>
    <w:rsid w:val="00B9495A"/>
    <w:rsid w:val="00BA18F4"/>
    <w:rsid w:val="00BB14CF"/>
    <w:rsid w:val="00BB65B3"/>
    <w:rsid w:val="00BC3F6C"/>
    <w:rsid w:val="00BD3EE9"/>
    <w:rsid w:val="00BD729A"/>
    <w:rsid w:val="00BE5159"/>
    <w:rsid w:val="00BF062C"/>
    <w:rsid w:val="00BF244E"/>
    <w:rsid w:val="00BF514B"/>
    <w:rsid w:val="00BF6FA3"/>
    <w:rsid w:val="00C00901"/>
    <w:rsid w:val="00C02247"/>
    <w:rsid w:val="00C03BF2"/>
    <w:rsid w:val="00C07018"/>
    <w:rsid w:val="00C156DB"/>
    <w:rsid w:val="00C30CA2"/>
    <w:rsid w:val="00C31829"/>
    <w:rsid w:val="00C3292B"/>
    <w:rsid w:val="00C50689"/>
    <w:rsid w:val="00C57DAC"/>
    <w:rsid w:val="00C6096A"/>
    <w:rsid w:val="00C62BCC"/>
    <w:rsid w:val="00C676A5"/>
    <w:rsid w:val="00C6784E"/>
    <w:rsid w:val="00C71339"/>
    <w:rsid w:val="00C80A4F"/>
    <w:rsid w:val="00C80D63"/>
    <w:rsid w:val="00C862E0"/>
    <w:rsid w:val="00C91BCE"/>
    <w:rsid w:val="00CA171E"/>
    <w:rsid w:val="00CC7F63"/>
    <w:rsid w:val="00CD3684"/>
    <w:rsid w:val="00CE7108"/>
    <w:rsid w:val="00CF4664"/>
    <w:rsid w:val="00D00152"/>
    <w:rsid w:val="00D00BC0"/>
    <w:rsid w:val="00D03979"/>
    <w:rsid w:val="00D10C91"/>
    <w:rsid w:val="00D11BAA"/>
    <w:rsid w:val="00D12CC2"/>
    <w:rsid w:val="00D256F7"/>
    <w:rsid w:val="00D33B8D"/>
    <w:rsid w:val="00D3507B"/>
    <w:rsid w:val="00D3628F"/>
    <w:rsid w:val="00D4343E"/>
    <w:rsid w:val="00D536C6"/>
    <w:rsid w:val="00D671A9"/>
    <w:rsid w:val="00D70712"/>
    <w:rsid w:val="00D76C95"/>
    <w:rsid w:val="00D80804"/>
    <w:rsid w:val="00D809D0"/>
    <w:rsid w:val="00D8213C"/>
    <w:rsid w:val="00D86EC8"/>
    <w:rsid w:val="00D90390"/>
    <w:rsid w:val="00D97F8C"/>
    <w:rsid w:val="00DA2829"/>
    <w:rsid w:val="00DA4B90"/>
    <w:rsid w:val="00DB08F4"/>
    <w:rsid w:val="00DB55A4"/>
    <w:rsid w:val="00DC219B"/>
    <w:rsid w:val="00DC33D2"/>
    <w:rsid w:val="00DC7657"/>
    <w:rsid w:val="00DD421C"/>
    <w:rsid w:val="00DD5489"/>
    <w:rsid w:val="00DD637B"/>
    <w:rsid w:val="00DF0E6F"/>
    <w:rsid w:val="00DF70FD"/>
    <w:rsid w:val="00E01493"/>
    <w:rsid w:val="00E020C3"/>
    <w:rsid w:val="00E021C6"/>
    <w:rsid w:val="00E158F2"/>
    <w:rsid w:val="00E15C8B"/>
    <w:rsid w:val="00E22335"/>
    <w:rsid w:val="00E23C12"/>
    <w:rsid w:val="00E246B6"/>
    <w:rsid w:val="00E25675"/>
    <w:rsid w:val="00E26953"/>
    <w:rsid w:val="00E33E92"/>
    <w:rsid w:val="00E45409"/>
    <w:rsid w:val="00E5710D"/>
    <w:rsid w:val="00E6621F"/>
    <w:rsid w:val="00E66B41"/>
    <w:rsid w:val="00E71D97"/>
    <w:rsid w:val="00E72667"/>
    <w:rsid w:val="00E73609"/>
    <w:rsid w:val="00E74C7C"/>
    <w:rsid w:val="00E81CFE"/>
    <w:rsid w:val="00E928D0"/>
    <w:rsid w:val="00EB30AC"/>
    <w:rsid w:val="00EB6E39"/>
    <w:rsid w:val="00EC244A"/>
    <w:rsid w:val="00EC7C5B"/>
    <w:rsid w:val="00ED4826"/>
    <w:rsid w:val="00ED51EA"/>
    <w:rsid w:val="00EE5A50"/>
    <w:rsid w:val="00EF5B2F"/>
    <w:rsid w:val="00F052E9"/>
    <w:rsid w:val="00F06F8F"/>
    <w:rsid w:val="00F20A34"/>
    <w:rsid w:val="00F4031D"/>
    <w:rsid w:val="00F4155C"/>
    <w:rsid w:val="00F416ED"/>
    <w:rsid w:val="00F52BCC"/>
    <w:rsid w:val="00F83D1C"/>
    <w:rsid w:val="00F96B82"/>
    <w:rsid w:val="00FC4F60"/>
    <w:rsid w:val="00FD1A64"/>
    <w:rsid w:val="00FE0497"/>
    <w:rsid w:val="00FE3C6F"/>
    <w:rsid w:val="00FF6128"/>
    <w:rsid w:val="00FF78F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15CD10"/>
  <w15:docId w15:val="{35470820-1C57-4298-9A79-8B8E11B3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416ED"/>
    <w:pPr>
      <w:ind w:left="397" w:hanging="397"/>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FF612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F6128"/>
    <w:rPr>
      <w:rFonts w:ascii="Tahoma" w:hAnsi="Tahoma" w:cs="Tahoma"/>
      <w:sz w:val="16"/>
      <w:szCs w:val="16"/>
    </w:rPr>
  </w:style>
  <w:style w:type="character" w:styleId="Enfasigrassetto">
    <w:name w:val="Strong"/>
    <w:basedOn w:val="Carpredefinitoparagrafo"/>
    <w:uiPriority w:val="99"/>
    <w:qFormat/>
    <w:rsid w:val="00335A19"/>
    <w:rPr>
      <w:rFonts w:cs="Times New Roman"/>
      <w:b/>
      <w:bCs/>
    </w:rPr>
  </w:style>
  <w:style w:type="paragraph" w:styleId="Paragrafoelenco">
    <w:name w:val="List Paragraph"/>
    <w:basedOn w:val="Normale"/>
    <w:uiPriority w:val="34"/>
    <w:qFormat/>
    <w:rsid w:val="00A75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35830">
      <w:marLeft w:val="0"/>
      <w:marRight w:val="0"/>
      <w:marTop w:val="0"/>
      <w:marBottom w:val="0"/>
      <w:divBdr>
        <w:top w:val="none" w:sz="0" w:space="0" w:color="auto"/>
        <w:left w:val="none" w:sz="0" w:space="0" w:color="auto"/>
        <w:bottom w:val="none" w:sz="0" w:space="0" w:color="auto"/>
        <w:right w:val="none" w:sz="0" w:space="0" w:color="auto"/>
      </w:divBdr>
      <w:divsChild>
        <w:div w:id="1437335829">
          <w:marLeft w:val="0"/>
          <w:marRight w:val="0"/>
          <w:marTop w:val="0"/>
          <w:marBottom w:val="0"/>
          <w:divBdr>
            <w:top w:val="none" w:sz="0" w:space="0" w:color="auto"/>
            <w:left w:val="none" w:sz="0" w:space="0" w:color="auto"/>
            <w:bottom w:val="none" w:sz="0" w:space="0" w:color="auto"/>
            <w:right w:val="none" w:sz="0" w:space="0" w:color="auto"/>
          </w:divBdr>
          <w:divsChild>
            <w:div w:id="143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3194D-60A7-402F-9A28-4FAF6190A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2813</Words>
  <Characters>16038</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(schema delibera consiliare 15/5)</vt:lpstr>
    </vt:vector>
  </TitlesOfParts>
  <Company>Olidata S.p.A.</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delibera consiliare 15/5)</dc:title>
  <dc:subject/>
  <dc:creator>lrocco</dc:creator>
  <cp:keywords/>
  <dc:description/>
  <cp:lastModifiedBy>Gianluca Vendrame</cp:lastModifiedBy>
  <cp:revision>382</cp:revision>
  <cp:lastPrinted>2017-05-04T08:53:00Z</cp:lastPrinted>
  <dcterms:created xsi:type="dcterms:W3CDTF">2017-05-16T08:41:00Z</dcterms:created>
  <dcterms:modified xsi:type="dcterms:W3CDTF">2020-12-23T13:55:00Z</dcterms:modified>
</cp:coreProperties>
</file>